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A64" w:rsidRPr="00F63AD9" w:rsidRDefault="00F80A64" w:rsidP="00F80A64">
      <w:pPr>
        <w:pStyle w:val="NormalWeb"/>
        <w:ind w:left="300"/>
        <w:jc w:val="right"/>
      </w:pPr>
      <w:r w:rsidRPr="00F63AD9">
        <w:t>Center for Devices and Radiological Heath</w:t>
      </w:r>
    </w:p>
    <w:p w:rsidR="00F80A64" w:rsidRPr="00F63AD9" w:rsidRDefault="00F80A64" w:rsidP="00F80A64">
      <w:pPr>
        <w:pStyle w:val="NormalWeb"/>
        <w:ind w:left="300"/>
        <w:jc w:val="right"/>
      </w:pPr>
      <w:r w:rsidRPr="00F63AD9">
        <w:t>Office of Communication, Education and Radiation Programs</w:t>
      </w:r>
      <w:r w:rsidRPr="00F63AD9">
        <w:br/>
        <w:t>Document Mail Center – WO66-G609</w:t>
      </w:r>
      <w:r w:rsidRPr="00F63AD9">
        <w:br/>
        <w:t>10903 New Hampshire Avenue</w:t>
      </w:r>
      <w:r w:rsidRPr="00F63AD9">
        <w:br/>
        <w:t>Silver Spring, MD 20993-0002</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t xml:space="preserve">Watson </w:t>
      </w:r>
      <w:proofErr w:type="spellStart"/>
      <w:r>
        <w:rPr>
          <w:rFonts w:ascii="Times New Roman" w:eastAsia="NotDefSpecial" w:hAnsi="Times New Roman" w:cs="Times New Roman"/>
          <w:sz w:val="24"/>
          <w:szCs w:val="24"/>
        </w:rPr>
        <w:t>Megatech</w:t>
      </w:r>
      <w:proofErr w:type="spellEnd"/>
      <w:r w:rsidRPr="00F63AD9">
        <w:rPr>
          <w:rFonts w:ascii="Times New Roman" w:eastAsia="NotDefSpecial" w:hAnsi="Times New Roman" w:cs="Times New Roman"/>
          <w:sz w:val="24"/>
          <w:szCs w:val="24"/>
        </w:rPr>
        <w:t>, Inc.</w:t>
      </w:r>
    </w:p>
    <w:p w:rsidR="00F63AD9" w:rsidRPr="00F63AD9" w:rsidRDefault="00BD6039" w:rsidP="00F63AD9">
      <w:pPr>
        <w:autoSpaceDE w:val="0"/>
        <w:autoSpaceDN w:val="0"/>
        <w:adjustRightInd w:val="0"/>
        <w:spacing w:after="0" w:line="240" w:lineRule="auto"/>
        <w:rPr>
          <w:rFonts w:ascii="Times New Roman" w:eastAsia="NotDefSpecial" w:hAnsi="Times New Roman" w:cs="Times New Roman"/>
          <w:sz w:val="24"/>
          <w:szCs w:val="24"/>
        </w:rPr>
      </w:pPr>
      <w:r w:rsidRPr="00C84305">
        <w:rPr>
          <w:rFonts w:ascii="Times New Roman" w:eastAsia="NotDefSpecial" w:hAnsi="Times New Roman" w:cs="Times New Roman"/>
          <w:noProof/>
          <w:sz w:val="24"/>
          <w:szCs w:val="24"/>
        </w:rPr>
        <mc:AlternateContent>
          <mc:Choice Requires="wps">
            <w:drawing>
              <wp:anchor distT="0" distB="0" distL="114300" distR="114300" simplePos="0" relativeHeight="251659264" behindDoc="0" locked="0" layoutInCell="1" allowOverlap="1" wp14:anchorId="75E1EF19" wp14:editId="779E8A6A">
                <wp:simplePos x="0" y="0"/>
                <wp:positionH relativeFrom="column">
                  <wp:posOffset>2590165</wp:posOffset>
                </wp:positionH>
                <wp:positionV relativeFrom="paragraph">
                  <wp:posOffset>107950</wp:posOffset>
                </wp:positionV>
                <wp:extent cx="1047750" cy="307340"/>
                <wp:effectExtent l="0" t="0" r="0" b="0"/>
                <wp:wrapNone/>
                <wp:docPr id="79" name="TextBox 78"/>
                <wp:cNvGraphicFramePr/>
                <a:graphic xmlns:a="http://schemas.openxmlformats.org/drawingml/2006/main">
                  <a:graphicData uri="http://schemas.microsoft.com/office/word/2010/wordprocessingShape">
                    <wps:wsp>
                      <wps:cNvSpPr txBox="1"/>
                      <wps:spPr>
                        <a:xfrm rot="20116023">
                          <a:off x="0" y="0"/>
                          <a:ext cx="1047750" cy="307340"/>
                        </a:xfrm>
                        <a:prstGeom prst="rect">
                          <a:avLst/>
                        </a:prstGeom>
                        <a:noFill/>
                      </wps:spPr>
                      <wps:txbx>
                        <w:txbxContent>
                          <w:p w:rsidR="00C84305" w:rsidRDefault="00C84305" w:rsidP="00C84305">
                            <w:pPr>
                              <w:pStyle w:val="NormalWeb"/>
                              <w:spacing w:before="0" w:beforeAutospacing="0" w:after="0" w:afterAutospacing="0"/>
                            </w:pPr>
                            <w:r>
                              <w:rPr>
                                <w:rFonts w:asciiTheme="minorHAnsi" w:hAnsi="Calibri" w:cstheme="minorBidi"/>
                                <w:color w:val="000000" w:themeColor="text1"/>
                                <w:kern w:val="24"/>
                                <w:sz w:val="28"/>
                                <w:szCs w:val="28"/>
                              </w:rPr>
                              <w:t>Dec 1, 201</w:t>
                            </w:r>
                            <w:r w:rsidR="007D53BA">
                              <w:rPr>
                                <w:rFonts w:asciiTheme="minorHAnsi" w:hAnsi="Calibri" w:cstheme="minorBidi"/>
                                <w:color w:val="000000" w:themeColor="text1"/>
                                <w:kern w:val="24"/>
                                <w:sz w:val="28"/>
                                <w:szCs w:val="28"/>
                              </w:rPr>
                              <w:t>1</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78" o:spid="_x0000_s1026" type="#_x0000_t202" style="position:absolute;margin-left:203.95pt;margin-top:8.5pt;width:82.5pt;height:24.2pt;rotation:-1620899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" filled="f" stroked="f">
                <v:textbox style="mso-fit-shape-to-text:t">
                  <w:txbxContent>
                    <w:p w:rsidR="00C84305" w:rsidRDefault="00C84305" w:rsidP="00C84305">
                      <w:pPr>
                        <w:pStyle w:val="NormalWeb"/>
                        <w:spacing w:before="0" w:beforeAutospacing="0" w:after="0" w:afterAutospacing="0"/>
                      </w:pPr>
                      <w:r>
                        <w:rPr>
                          <w:rFonts w:asciiTheme="minorHAnsi" w:hAnsi="Calibri" w:cstheme="minorBidi"/>
                          <w:color w:val="000000" w:themeColor="text1"/>
                          <w:kern w:val="24"/>
                          <w:sz w:val="28"/>
                          <w:szCs w:val="28"/>
                        </w:rPr>
                        <w:t>Dec 1, 201</w:t>
                      </w:r>
                      <w:r w:rsidR="007D53BA">
                        <w:rPr>
                          <w:rFonts w:asciiTheme="minorHAnsi" w:hAnsi="Calibri" w:cstheme="minorBidi"/>
                          <w:color w:val="000000" w:themeColor="text1"/>
                          <w:kern w:val="24"/>
                          <w:sz w:val="28"/>
                          <w:szCs w:val="28"/>
                        </w:rPr>
                        <w:t>1</w:t>
                      </w:r>
                    </w:p>
                  </w:txbxContent>
                </v:textbox>
              </v:shape>
            </w:pict>
          </mc:Fallback>
        </mc:AlternateContent>
      </w:r>
      <w:r w:rsidR="00F63AD9" w:rsidRPr="00F63AD9">
        <w:rPr>
          <w:rFonts w:ascii="Times New Roman" w:eastAsia="NotDefSpecial" w:hAnsi="Times New Roman" w:cs="Times New Roman"/>
          <w:sz w:val="24"/>
          <w:szCs w:val="24"/>
        </w:rPr>
        <w:t xml:space="preserve">% </w:t>
      </w:r>
      <w:r w:rsidR="00F63AD9">
        <w:rPr>
          <w:rFonts w:ascii="Times New Roman" w:eastAsia="NotDefSpecial" w:hAnsi="Times New Roman" w:cs="Times New Roman"/>
          <w:sz w:val="24"/>
          <w:szCs w:val="24"/>
        </w:rPr>
        <w:t>Chad Watson</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President and CEO</w:t>
      </w:r>
      <w:r w:rsidR="00C84305">
        <w:rPr>
          <w:rFonts w:ascii="Times New Roman" w:eastAsia="NotDefSpecial" w:hAnsi="Times New Roman" w:cs="Times New Roman"/>
          <w:sz w:val="24"/>
          <w:szCs w:val="24"/>
        </w:rPr>
        <w:tab/>
      </w:r>
      <w:r w:rsidR="00C84305">
        <w:rPr>
          <w:rFonts w:ascii="Times New Roman" w:eastAsia="NotDefSpecial" w:hAnsi="Times New Roman" w:cs="Times New Roman"/>
          <w:sz w:val="24"/>
          <w:szCs w:val="24"/>
        </w:rPr>
        <w:tab/>
      </w:r>
      <w:r w:rsidR="00C84305">
        <w:rPr>
          <w:rFonts w:ascii="Times New Roman" w:eastAsia="NotDefSpecial" w:hAnsi="Times New Roman" w:cs="Times New Roman"/>
          <w:sz w:val="24"/>
          <w:szCs w:val="24"/>
        </w:rPr>
        <w:tab/>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t>5800 Industrial Blvd</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Suite 1</w:t>
      </w:r>
      <w:r>
        <w:rPr>
          <w:rFonts w:ascii="Times New Roman" w:eastAsia="NotDefSpecial" w:hAnsi="Times New Roman" w:cs="Times New Roman"/>
          <w:sz w:val="24"/>
          <w:szCs w:val="24"/>
        </w:rPr>
        <w:t>1</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t>Omaha, NE 68135</w:t>
      </w:r>
    </w:p>
    <w:p w:rsidR="00605CC4" w:rsidRPr="00F63AD9" w:rsidRDefault="00605CC4"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Re: P09</w:t>
      </w:r>
      <w:r>
        <w:rPr>
          <w:rFonts w:ascii="Times New Roman" w:eastAsia="NotDefSpecial" w:hAnsi="Times New Roman" w:cs="Times New Roman"/>
          <w:sz w:val="24"/>
          <w:szCs w:val="24"/>
        </w:rPr>
        <w:t>146</w:t>
      </w:r>
      <w:r w:rsidRPr="00F63AD9">
        <w:rPr>
          <w:rFonts w:ascii="Times New Roman" w:eastAsia="NotDefSpecial" w:hAnsi="Times New Roman" w:cs="Times New Roman"/>
          <w:sz w:val="24"/>
          <w:szCs w:val="24"/>
        </w:rPr>
        <w:t>2</w:t>
      </w:r>
    </w:p>
    <w:p w:rsidR="00F63AD9" w:rsidRPr="00F63AD9" w:rsidRDefault="00F63AD9" w:rsidP="00DB1575">
      <w:pPr>
        <w:tabs>
          <w:tab w:val="left" w:pos="6375"/>
        </w:tabs>
        <w:autoSpaceDE w:val="0"/>
        <w:autoSpaceDN w:val="0"/>
        <w:adjustRightInd w:val="0"/>
        <w:spacing w:after="0" w:line="240" w:lineRule="auto"/>
        <w:rPr>
          <w:rFonts w:ascii="Times New Roman" w:eastAsia="NotDefSpecial" w:hAnsi="Times New Roman" w:cs="Times New Roman"/>
          <w:sz w:val="24"/>
          <w:szCs w:val="24"/>
        </w:rPr>
      </w:pPr>
      <w:proofErr w:type="spellStart"/>
      <w:r>
        <w:rPr>
          <w:rFonts w:ascii="Times New Roman" w:eastAsia="NotDefSpecial" w:hAnsi="Times New Roman" w:cs="Times New Roman"/>
          <w:sz w:val="24"/>
          <w:szCs w:val="24"/>
        </w:rPr>
        <w:t>BioBanking</w:t>
      </w:r>
      <w:proofErr w:type="spellEnd"/>
      <w:r w:rsidR="00DB1575">
        <w:rPr>
          <w:rFonts w:ascii="Times New Roman" w:eastAsia="NotDefSpecial" w:hAnsi="Times New Roman" w:cs="Times New Roman"/>
          <w:sz w:val="24"/>
          <w:szCs w:val="24"/>
        </w:rPr>
        <w:tab/>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Filed: </w:t>
      </w:r>
      <w:r w:rsidR="00C84305">
        <w:rPr>
          <w:rFonts w:ascii="Times New Roman" w:eastAsia="NotDefSpecial" w:hAnsi="Times New Roman" w:cs="Times New Roman"/>
          <w:sz w:val="24"/>
          <w:szCs w:val="24"/>
        </w:rPr>
        <w:t>Jan</w:t>
      </w:r>
      <w:r w:rsidRPr="00F63AD9">
        <w:rPr>
          <w:rFonts w:ascii="Times New Roman" w:eastAsia="NotDefSpecial" w:hAnsi="Times New Roman" w:cs="Times New Roman"/>
          <w:sz w:val="24"/>
          <w:szCs w:val="24"/>
        </w:rPr>
        <w:t xml:space="preserve"> 9,</w:t>
      </w:r>
      <w:r>
        <w:rPr>
          <w:rFonts w:ascii="Times New Roman" w:eastAsia="NotDefSpecial" w:hAnsi="Times New Roman" w:cs="Times New Roman"/>
          <w:sz w:val="24"/>
          <w:szCs w:val="24"/>
        </w:rPr>
        <w:t xml:space="preserve"> </w:t>
      </w:r>
      <w:r w:rsidRPr="00F63AD9">
        <w:rPr>
          <w:rFonts w:ascii="Times New Roman" w:eastAsia="NotDefSpecial" w:hAnsi="Times New Roman" w:cs="Times New Roman"/>
          <w:sz w:val="24"/>
          <w:szCs w:val="24"/>
        </w:rPr>
        <w:t>20</w:t>
      </w:r>
      <w:r w:rsidR="00C84305">
        <w:rPr>
          <w:rFonts w:ascii="Times New Roman" w:eastAsia="NotDefSpecial" w:hAnsi="Times New Roman" w:cs="Times New Roman"/>
          <w:sz w:val="24"/>
          <w:szCs w:val="24"/>
        </w:rPr>
        <w:t>10</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Amended: August 5, September 8 and 13, 2010; February 22,</w:t>
      </w:r>
      <w:r>
        <w:rPr>
          <w:rFonts w:ascii="Times New Roman" w:eastAsia="NotDefSpecial" w:hAnsi="Times New Roman" w:cs="Times New Roman"/>
          <w:sz w:val="24"/>
          <w:szCs w:val="24"/>
        </w:rPr>
        <w:t xml:space="preserve"> </w:t>
      </w:r>
      <w:r w:rsidRPr="00F63AD9">
        <w:rPr>
          <w:rFonts w:ascii="Times New Roman" w:eastAsia="NotDefSpecial" w:hAnsi="Times New Roman" w:cs="Times New Roman"/>
          <w:sz w:val="24"/>
          <w:szCs w:val="24"/>
        </w:rPr>
        <w:t>2011; September 22,</w:t>
      </w:r>
      <w:r>
        <w:rPr>
          <w:rFonts w:ascii="Times New Roman" w:eastAsia="NotDefSpecial" w:hAnsi="Times New Roman" w:cs="Times New Roman"/>
          <w:sz w:val="24"/>
          <w:szCs w:val="24"/>
        </w:rPr>
        <w:t xml:space="preserve"> </w:t>
      </w:r>
      <w:r w:rsidRPr="00F63AD9">
        <w:rPr>
          <w:rFonts w:ascii="Times New Roman" w:eastAsia="NotDefSpecial" w:hAnsi="Times New Roman" w:cs="Times New Roman"/>
          <w:sz w:val="24"/>
          <w:szCs w:val="24"/>
        </w:rPr>
        <w:t>2011; October 6,</w:t>
      </w:r>
      <w:r>
        <w:rPr>
          <w:rFonts w:ascii="Times New Roman" w:eastAsia="NotDefSpecial" w:hAnsi="Times New Roman" w:cs="Times New Roman"/>
          <w:sz w:val="24"/>
          <w:szCs w:val="24"/>
        </w:rPr>
        <w:t xml:space="preserve"> </w:t>
      </w:r>
      <w:r w:rsidRPr="00F63AD9">
        <w:rPr>
          <w:rFonts w:ascii="Times New Roman" w:eastAsia="NotDefSpecial" w:hAnsi="Times New Roman" w:cs="Times New Roman"/>
          <w:sz w:val="24"/>
          <w:szCs w:val="24"/>
        </w:rPr>
        <w:t>2011 and November 1, 2011.</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proofErr w:type="spellStart"/>
      <w:r w:rsidRPr="00F63AD9">
        <w:rPr>
          <w:rFonts w:ascii="Times New Roman" w:eastAsia="NotDefSpecial" w:hAnsi="Times New Roman" w:cs="Times New Roman"/>
          <w:sz w:val="24"/>
          <w:szCs w:val="24"/>
        </w:rPr>
        <w:t>Procode</w:t>
      </w:r>
      <w:proofErr w:type="spellEnd"/>
      <w:r w:rsidRPr="00F63AD9">
        <w:rPr>
          <w:rFonts w:ascii="Times New Roman" w:eastAsia="NotDefSpecial" w:hAnsi="Times New Roman" w:cs="Times New Roman"/>
          <w:sz w:val="24"/>
          <w:szCs w:val="24"/>
        </w:rPr>
        <w:t xml:space="preserve">: </w:t>
      </w:r>
      <w:r w:rsidR="00605CC4">
        <w:rPr>
          <w:rFonts w:ascii="Times New Roman" w:eastAsia="NotDefSpecial" w:hAnsi="Times New Roman" w:cs="Times New Roman"/>
          <w:sz w:val="24"/>
          <w:szCs w:val="24"/>
        </w:rPr>
        <w:t>RL</w:t>
      </w:r>
      <w:r w:rsidRPr="00F63AD9">
        <w:rPr>
          <w:rFonts w:ascii="Times New Roman" w:eastAsia="NotDefSpecial" w:hAnsi="Times New Roman" w:cs="Times New Roman"/>
          <w:sz w:val="24"/>
          <w:szCs w:val="24"/>
        </w:rPr>
        <w:t>D</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bookmarkStart w:id="0" w:name="_GoBack"/>
      <w:bookmarkEnd w:id="0"/>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Dear </w:t>
      </w:r>
      <w:r>
        <w:rPr>
          <w:rFonts w:ascii="Times New Roman" w:eastAsia="NotDefSpecial" w:hAnsi="Times New Roman" w:cs="Times New Roman"/>
          <w:sz w:val="24"/>
          <w:szCs w:val="24"/>
        </w:rPr>
        <w:t>Mr. Watson</w:t>
      </w:r>
      <w:r w:rsidRPr="00F63AD9">
        <w:rPr>
          <w:rFonts w:ascii="Times New Roman" w:eastAsia="NotDefSpecial" w:hAnsi="Times New Roman" w:cs="Times New Roman"/>
          <w:sz w:val="24"/>
          <w:szCs w:val="24"/>
        </w:rPr>
        <w:t>:</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The Center for Devices and Radiological Health (CDRH) of the Food and Drug Administration</w:t>
      </w:r>
    </w:p>
    <w:p w:rsidR="00F63AD9" w:rsidRDefault="00F63AD9" w:rsidP="00605CC4">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(FDA) has completed its review of your premarket approval application (PMA) for the </w:t>
      </w:r>
      <w:proofErr w:type="spellStart"/>
      <w:r w:rsidR="00605CC4">
        <w:rPr>
          <w:rFonts w:ascii="Times New Roman" w:eastAsia="NotDefSpecial" w:hAnsi="Times New Roman" w:cs="Times New Roman"/>
          <w:sz w:val="24"/>
          <w:szCs w:val="24"/>
        </w:rPr>
        <w:t>BioBanking</w:t>
      </w:r>
      <w:proofErr w:type="spellEnd"/>
      <w:r w:rsidR="00605CC4">
        <w:rPr>
          <w:rFonts w:ascii="Times New Roman" w:eastAsia="NotDefSpecial" w:hAnsi="Times New Roman" w:cs="Times New Roman"/>
          <w:sz w:val="24"/>
          <w:szCs w:val="24"/>
        </w:rPr>
        <w:t xml:space="preserve"> Device.</w:t>
      </w:r>
    </w:p>
    <w:p w:rsidR="00605CC4" w:rsidRPr="00F63AD9" w:rsidRDefault="00605CC4" w:rsidP="00605CC4">
      <w:pPr>
        <w:autoSpaceDE w:val="0"/>
        <w:autoSpaceDN w:val="0"/>
        <w:adjustRightInd w:val="0"/>
        <w:spacing w:after="0" w:line="240" w:lineRule="auto"/>
        <w:rPr>
          <w:rFonts w:ascii="Times New Roman" w:eastAsia="NotDefSpecial" w:hAnsi="Times New Roman" w:cs="Times New Roman"/>
          <w:sz w:val="24"/>
          <w:szCs w:val="24"/>
        </w:rPr>
      </w:pPr>
    </w:p>
    <w:p w:rsidR="00F63AD9" w:rsidRDefault="0048421A" w:rsidP="00F63AD9">
      <w:pPr>
        <w:autoSpaceDE w:val="0"/>
        <w:autoSpaceDN w:val="0"/>
        <w:adjustRightInd w:val="0"/>
        <w:spacing w:after="0" w:line="240" w:lineRule="auto"/>
        <w:rPr>
          <w:rFonts w:ascii="Times New Roman" w:eastAsia="NotDefSpecial" w:hAnsi="Times New Roman" w:cs="Times New Roman"/>
          <w:sz w:val="24"/>
          <w:szCs w:val="24"/>
        </w:rPr>
      </w:pPr>
      <w:proofErr w:type="spellStart"/>
      <w:r>
        <w:rPr>
          <w:rFonts w:ascii="Times New Roman" w:eastAsia="NotDefSpecial" w:hAnsi="Times New Roman" w:cs="Times New Roman"/>
          <w:sz w:val="24"/>
          <w:szCs w:val="24"/>
        </w:rPr>
        <w:t>BioBanking</w:t>
      </w:r>
      <w:proofErr w:type="spellEnd"/>
      <w:r>
        <w:rPr>
          <w:rFonts w:ascii="Times New Roman" w:eastAsia="NotDefSpecial" w:hAnsi="Times New Roman" w:cs="Times New Roman"/>
          <w:sz w:val="24"/>
          <w:szCs w:val="24"/>
        </w:rPr>
        <w:t xml:space="preserve"> is intended to be for sub-dermal use as a radio frequency </w:t>
      </w:r>
      <w:r w:rsidR="00291976">
        <w:rPr>
          <w:rFonts w:ascii="Times New Roman" w:eastAsia="NotDefSpecial" w:hAnsi="Times New Roman" w:cs="Times New Roman"/>
          <w:sz w:val="24"/>
          <w:szCs w:val="24"/>
        </w:rPr>
        <w:t xml:space="preserve">(RF) </w:t>
      </w:r>
      <w:r>
        <w:rPr>
          <w:rFonts w:ascii="Times New Roman" w:eastAsia="NotDefSpecial" w:hAnsi="Times New Roman" w:cs="Times New Roman"/>
          <w:sz w:val="24"/>
          <w:szCs w:val="24"/>
        </w:rPr>
        <w:t>emitter in the prevention of identity theft and financial fraud.</w:t>
      </w:r>
      <w:r w:rsidR="0058389D">
        <w:rPr>
          <w:rFonts w:ascii="Times New Roman" w:eastAsia="NotDefSpecial" w:hAnsi="Times New Roman" w:cs="Times New Roman"/>
          <w:sz w:val="24"/>
          <w:szCs w:val="24"/>
        </w:rPr>
        <w:t xml:space="preserve"> The device will interact with external scanners through radio frequency to identify the individual as well as financial account information. The device will also interact with external encoders for the purposes of addition or removal of financial account </w:t>
      </w:r>
      <w:r w:rsidR="00CD6435">
        <w:rPr>
          <w:rFonts w:ascii="Times New Roman" w:eastAsia="NotDefSpecial" w:hAnsi="Times New Roman" w:cs="Times New Roman"/>
          <w:sz w:val="24"/>
          <w:szCs w:val="24"/>
        </w:rPr>
        <w:t xml:space="preserve">information. </w:t>
      </w:r>
      <w:r w:rsidR="0058389D">
        <w:rPr>
          <w:rFonts w:ascii="Times New Roman" w:eastAsia="NotDefSpecial" w:hAnsi="Times New Roman" w:cs="Times New Roman"/>
          <w:sz w:val="24"/>
          <w:szCs w:val="24"/>
        </w:rPr>
        <w:t>The device is solar pow</w:t>
      </w:r>
      <w:r w:rsidR="00CD6435">
        <w:rPr>
          <w:rFonts w:ascii="Times New Roman" w:eastAsia="NotDefSpecial" w:hAnsi="Times New Roman" w:cs="Times New Roman"/>
          <w:sz w:val="24"/>
          <w:szCs w:val="24"/>
        </w:rPr>
        <w:t>ered and does not need internal batteries that would provide potential medical issues in the PMA review process.</w:t>
      </w:r>
    </w:p>
    <w:p w:rsidR="00CD6435" w:rsidRDefault="00CD6435" w:rsidP="00F63AD9">
      <w:pPr>
        <w:autoSpaceDE w:val="0"/>
        <w:autoSpaceDN w:val="0"/>
        <w:adjustRightInd w:val="0"/>
        <w:spacing w:after="0" w:line="240" w:lineRule="auto"/>
        <w:rPr>
          <w:rFonts w:ascii="Times New Roman" w:eastAsia="NotDefSpecial" w:hAnsi="Times New Roman" w:cs="Times New Roman"/>
          <w:sz w:val="24"/>
          <w:szCs w:val="24"/>
        </w:rPr>
      </w:pPr>
    </w:p>
    <w:p w:rsidR="00CD6435" w:rsidRDefault="00CD6435"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t xml:space="preserve">The </w:t>
      </w:r>
      <w:proofErr w:type="spellStart"/>
      <w:r>
        <w:rPr>
          <w:rFonts w:ascii="Times New Roman" w:eastAsia="NotDefSpecial" w:hAnsi="Times New Roman" w:cs="Times New Roman"/>
          <w:sz w:val="24"/>
          <w:szCs w:val="24"/>
        </w:rPr>
        <w:t>BioBanking</w:t>
      </w:r>
      <w:proofErr w:type="spellEnd"/>
      <w:r>
        <w:rPr>
          <w:rFonts w:ascii="Times New Roman" w:eastAsia="NotDefSpecial" w:hAnsi="Times New Roman" w:cs="Times New Roman"/>
          <w:sz w:val="24"/>
          <w:szCs w:val="24"/>
        </w:rPr>
        <w:t xml:space="preserve"> insertion process can be administered by non-medical personnel trained in the implementation of the product. Financial institution personnel responsible for this administration will be trained and certified in application of the </w:t>
      </w:r>
      <w:proofErr w:type="spellStart"/>
      <w:r>
        <w:rPr>
          <w:rFonts w:ascii="Times New Roman" w:eastAsia="NotDefSpecial" w:hAnsi="Times New Roman" w:cs="Times New Roman"/>
          <w:sz w:val="24"/>
          <w:szCs w:val="24"/>
        </w:rPr>
        <w:t>BioBanking</w:t>
      </w:r>
      <w:proofErr w:type="spellEnd"/>
      <w:r>
        <w:rPr>
          <w:rFonts w:ascii="Times New Roman" w:eastAsia="NotDefSpecial" w:hAnsi="Times New Roman" w:cs="Times New Roman"/>
          <w:sz w:val="24"/>
          <w:szCs w:val="24"/>
        </w:rPr>
        <w:t xml:space="preserve"> device.</w:t>
      </w:r>
    </w:p>
    <w:p w:rsidR="00291976" w:rsidRDefault="00291976" w:rsidP="00F63AD9">
      <w:pPr>
        <w:autoSpaceDE w:val="0"/>
        <w:autoSpaceDN w:val="0"/>
        <w:adjustRightInd w:val="0"/>
        <w:spacing w:after="0" w:line="240" w:lineRule="auto"/>
        <w:rPr>
          <w:rFonts w:ascii="Times New Roman" w:eastAsia="NotDefSpecial" w:hAnsi="Times New Roman" w:cs="Times New Roman"/>
          <w:sz w:val="24"/>
          <w:szCs w:val="24"/>
        </w:rPr>
      </w:pPr>
    </w:p>
    <w:p w:rsidR="00291976" w:rsidRDefault="00291976"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t xml:space="preserve">The sub-dermal </w:t>
      </w:r>
      <w:proofErr w:type="spellStart"/>
      <w:r>
        <w:rPr>
          <w:rFonts w:ascii="Times New Roman" w:eastAsia="NotDefSpecial" w:hAnsi="Times New Roman" w:cs="Times New Roman"/>
          <w:sz w:val="24"/>
          <w:szCs w:val="24"/>
        </w:rPr>
        <w:t>BioBanking</w:t>
      </w:r>
      <w:proofErr w:type="spellEnd"/>
      <w:r>
        <w:rPr>
          <w:rFonts w:ascii="Times New Roman" w:eastAsia="NotDefSpecial" w:hAnsi="Times New Roman" w:cs="Times New Roman"/>
          <w:sz w:val="24"/>
          <w:szCs w:val="24"/>
        </w:rPr>
        <w:t xml:space="preserve"> device is one element of the total transaction system. There is also a reader for the RF signals. Since the reader is a passive device it does not fall under provisions of the CDRH purview. </w:t>
      </w:r>
    </w:p>
    <w:p w:rsidR="0048421A" w:rsidRPr="00F63AD9" w:rsidRDefault="0048421A"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We are pleased to inform you that the PMA is approved. You may begin commercial distribution</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of the device in accordance with the conditions of approval described below. You may continue</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commercial distribution of the device upon receipt of this letter.</w:t>
      </w:r>
    </w:p>
    <w:p w:rsidR="0048421A" w:rsidRPr="00F63AD9" w:rsidRDefault="0048421A" w:rsidP="00F63AD9">
      <w:pPr>
        <w:autoSpaceDE w:val="0"/>
        <w:autoSpaceDN w:val="0"/>
        <w:adjustRightInd w:val="0"/>
        <w:spacing w:after="0" w:line="240" w:lineRule="auto"/>
        <w:rPr>
          <w:rFonts w:ascii="Times New Roman" w:eastAsia="NotDefSpecial" w:hAnsi="Times New Roman" w:cs="Times New Roman"/>
          <w:sz w:val="24"/>
          <w:szCs w:val="24"/>
        </w:rPr>
      </w:pPr>
    </w:p>
    <w:p w:rsidR="006775C7" w:rsidRDefault="006775C7" w:rsidP="006775C7">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lastRenderedPageBreak/>
        <w:t>Page 2 – Mr. Watson</w:t>
      </w:r>
    </w:p>
    <w:p w:rsidR="006775C7" w:rsidRDefault="006775C7" w:rsidP="00291976">
      <w:pPr>
        <w:autoSpaceDE w:val="0"/>
        <w:autoSpaceDN w:val="0"/>
        <w:adjustRightInd w:val="0"/>
        <w:spacing w:after="0" w:line="240" w:lineRule="auto"/>
        <w:rPr>
          <w:rFonts w:ascii="Times New Roman" w:eastAsia="NotDefSpecial" w:hAnsi="Times New Roman" w:cs="Times New Roman"/>
          <w:sz w:val="24"/>
          <w:szCs w:val="24"/>
        </w:rPr>
      </w:pPr>
    </w:p>
    <w:p w:rsidR="00291976" w:rsidRPr="00291976" w:rsidRDefault="00F63AD9" w:rsidP="00291976">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The sale and distribution of this device are </w:t>
      </w:r>
      <w:r w:rsidR="00291976">
        <w:rPr>
          <w:rFonts w:ascii="Times New Roman" w:eastAsia="NotDefSpecial" w:hAnsi="Times New Roman" w:cs="Times New Roman"/>
          <w:sz w:val="24"/>
          <w:szCs w:val="24"/>
        </w:rPr>
        <w:t xml:space="preserve"> governed by </w:t>
      </w:r>
      <w:r w:rsidR="00291976" w:rsidRPr="00291976">
        <w:rPr>
          <w:rFonts w:ascii="Times New Roman" w:eastAsia="NotDefSpecial" w:hAnsi="Times New Roman" w:cs="Times New Roman"/>
          <w:sz w:val="24"/>
          <w:szCs w:val="24"/>
        </w:rPr>
        <w:t>The Radiation Control provisions (originally enacted as the Radiation Control for Health and Safety Act of 1968) located in Sections 531 through 542 of the Act. They apply to any "electronic product" which is defined as: any manufactured or assembled product (or component, part, or accessory of such product) which, when in operation,</w:t>
      </w:r>
    </w:p>
    <w:p w:rsidR="00291976" w:rsidRP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p>
    <w:p w:rsidR="00291976" w:rsidRPr="00291976" w:rsidRDefault="00291976" w:rsidP="00291976">
      <w:pPr>
        <w:pStyle w:val="ListParagraph"/>
        <w:numPr>
          <w:ilvl w:val="0"/>
          <w:numId w:val="1"/>
        </w:numPr>
        <w:autoSpaceDE w:val="0"/>
        <w:autoSpaceDN w:val="0"/>
        <w:adjustRightInd w:val="0"/>
        <w:spacing w:after="0" w:line="240" w:lineRule="auto"/>
        <w:rPr>
          <w:rFonts w:ascii="Times New Roman" w:eastAsia="NotDefSpecial" w:hAnsi="Times New Roman" w:cs="Times New Roman"/>
          <w:sz w:val="24"/>
          <w:szCs w:val="24"/>
        </w:rPr>
      </w:pPr>
      <w:r w:rsidRPr="00291976">
        <w:rPr>
          <w:rFonts w:ascii="Times New Roman" w:eastAsia="NotDefSpecial" w:hAnsi="Times New Roman" w:cs="Times New Roman"/>
          <w:sz w:val="24"/>
          <w:szCs w:val="24"/>
        </w:rPr>
        <w:t>contains or acts as part of an electronic circuit and</w:t>
      </w:r>
    </w:p>
    <w:p w:rsidR="00291976" w:rsidRP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p>
    <w:p w:rsidR="00291976" w:rsidRPr="00291976" w:rsidRDefault="00291976" w:rsidP="00291976">
      <w:pPr>
        <w:pStyle w:val="ListParagraph"/>
        <w:numPr>
          <w:ilvl w:val="0"/>
          <w:numId w:val="1"/>
        </w:numPr>
        <w:autoSpaceDE w:val="0"/>
        <w:autoSpaceDN w:val="0"/>
        <w:adjustRightInd w:val="0"/>
        <w:spacing w:after="0" w:line="240" w:lineRule="auto"/>
        <w:rPr>
          <w:rFonts w:ascii="Times New Roman" w:eastAsia="NotDefSpecial" w:hAnsi="Times New Roman" w:cs="Times New Roman"/>
          <w:sz w:val="24"/>
          <w:szCs w:val="24"/>
        </w:rPr>
      </w:pPr>
      <w:r w:rsidRPr="00291976">
        <w:rPr>
          <w:rFonts w:ascii="Times New Roman" w:eastAsia="NotDefSpecial" w:hAnsi="Times New Roman" w:cs="Times New Roman"/>
          <w:sz w:val="24"/>
          <w:szCs w:val="24"/>
        </w:rPr>
        <w:t>emits (or in the absence of effective shielding or other controls would emit) electronic product radiation.</w:t>
      </w:r>
    </w:p>
    <w:p w:rsidR="00291976" w:rsidRP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p>
    <w:p w:rsidR="00291976" w:rsidRP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r w:rsidRPr="00291976">
        <w:rPr>
          <w:rFonts w:ascii="Times New Roman" w:eastAsia="NotDefSpecial" w:hAnsi="Times New Roman" w:cs="Times New Roman"/>
          <w:sz w:val="24"/>
          <w:szCs w:val="24"/>
        </w:rPr>
        <w:t>"Electronic product radiation" is defined as:</w:t>
      </w:r>
    </w:p>
    <w:p w:rsidR="00291976" w:rsidRP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p>
    <w:p w:rsidR="00291976" w:rsidRPr="00291976" w:rsidRDefault="00291976" w:rsidP="00291976">
      <w:pPr>
        <w:pStyle w:val="ListParagraph"/>
        <w:numPr>
          <w:ilvl w:val="0"/>
          <w:numId w:val="3"/>
        </w:numPr>
        <w:autoSpaceDE w:val="0"/>
        <w:autoSpaceDN w:val="0"/>
        <w:adjustRightInd w:val="0"/>
        <w:spacing w:after="0" w:line="240" w:lineRule="auto"/>
        <w:rPr>
          <w:rFonts w:ascii="Times New Roman" w:eastAsia="NotDefSpecial" w:hAnsi="Times New Roman" w:cs="Times New Roman"/>
          <w:sz w:val="24"/>
          <w:szCs w:val="24"/>
        </w:rPr>
      </w:pPr>
      <w:r w:rsidRPr="00291976">
        <w:rPr>
          <w:rFonts w:ascii="Times New Roman" w:eastAsia="NotDefSpecial" w:hAnsi="Times New Roman" w:cs="Times New Roman"/>
          <w:sz w:val="24"/>
          <w:szCs w:val="24"/>
        </w:rPr>
        <w:t>any ionizing or non-ionizing electromagnetic or particulate radiation, or</w:t>
      </w:r>
    </w:p>
    <w:p w:rsidR="00291976" w:rsidRP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p>
    <w:p w:rsidR="00291976" w:rsidRPr="00291976" w:rsidRDefault="00291976" w:rsidP="00291976">
      <w:pPr>
        <w:pStyle w:val="ListParagraph"/>
        <w:numPr>
          <w:ilvl w:val="0"/>
          <w:numId w:val="3"/>
        </w:numPr>
        <w:autoSpaceDE w:val="0"/>
        <w:autoSpaceDN w:val="0"/>
        <w:adjustRightInd w:val="0"/>
        <w:spacing w:after="0" w:line="240" w:lineRule="auto"/>
        <w:rPr>
          <w:rFonts w:ascii="Times New Roman" w:eastAsia="NotDefSpecial" w:hAnsi="Times New Roman" w:cs="Times New Roman"/>
          <w:sz w:val="24"/>
          <w:szCs w:val="24"/>
        </w:rPr>
      </w:pPr>
      <w:r w:rsidRPr="00291976">
        <w:rPr>
          <w:rFonts w:ascii="Times New Roman" w:eastAsia="NotDefSpecial" w:hAnsi="Times New Roman" w:cs="Times New Roman"/>
          <w:sz w:val="24"/>
          <w:szCs w:val="24"/>
        </w:rPr>
        <w:t>any sonic, infrasonic, or ultrasonic wave, which is emitted from an electronic product as the result of the operation of an electronic circuit in such product.</w:t>
      </w:r>
      <w:r w:rsidR="00F63AD9" w:rsidRPr="00291976">
        <w:rPr>
          <w:rFonts w:ascii="Times New Roman" w:eastAsia="NotDefSpecial" w:hAnsi="Times New Roman" w:cs="Times New Roman"/>
          <w:sz w:val="24"/>
          <w:szCs w:val="24"/>
        </w:rPr>
        <w:t xml:space="preserve"> </w:t>
      </w:r>
    </w:p>
    <w:p w:rsidR="00291976" w:rsidRDefault="00291976" w:rsidP="00291976">
      <w:pPr>
        <w:autoSpaceDE w:val="0"/>
        <w:autoSpaceDN w:val="0"/>
        <w:adjustRightInd w:val="0"/>
        <w:spacing w:after="0" w:line="240" w:lineRule="auto"/>
        <w:rPr>
          <w:rFonts w:ascii="Times New Roman" w:eastAsia="NotDefSpecial" w:hAnsi="Times New Roman" w:cs="Times New Roman"/>
          <w:sz w:val="24"/>
          <w:szCs w:val="24"/>
        </w:rPr>
      </w:pPr>
    </w:p>
    <w:p w:rsidR="00F63AD9" w:rsidRDefault="00F63AD9" w:rsidP="00291976">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The device is restricted under section 515(d)(l)(B)(ii) of </w:t>
      </w:r>
      <w:r w:rsidR="0048421A">
        <w:rPr>
          <w:rFonts w:ascii="Times New Roman" w:eastAsia="NotDefSpecial" w:hAnsi="Times New Roman" w:cs="Times New Roman"/>
          <w:sz w:val="24"/>
          <w:szCs w:val="24"/>
        </w:rPr>
        <w:t xml:space="preserve">the act insofar as the labeling </w:t>
      </w:r>
      <w:r w:rsidRPr="00F63AD9">
        <w:rPr>
          <w:rFonts w:ascii="Times New Roman" w:eastAsia="NotDefSpecial" w:hAnsi="Times New Roman" w:cs="Times New Roman"/>
          <w:sz w:val="24"/>
          <w:szCs w:val="24"/>
        </w:rPr>
        <w:t xml:space="preserve">must specify the specific training or experience practitioners need </w:t>
      </w:r>
      <w:r w:rsidR="0048421A">
        <w:rPr>
          <w:rFonts w:ascii="Times New Roman" w:eastAsia="NotDefSpecial" w:hAnsi="Times New Roman" w:cs="Times New Roman"/>
          <w:sz w:val="24"/>
          <w:szCs w:val="24"/>
        </w:rPr>
        <w:t xml:space="preserve">in order to use the device. FDA </w:t>
      </w:r>
      <w:r w:rsidRPr="00F63AD9">
        <w:rPr>
          <w:rFonts w:ascii="Times New Roman" w:eastAsia="NotDefSpecial" w:hAnsi="Times New Roman" w:cs="Times New Roman"/>
          <w:sz w:val="24"/>
          <w:szCs w:val="24"/>
        </w:rPr>
        <w:t>has determined that these restrictions on sale and distribution are n</w:t>
      </w:r>
      <w:r w:rsidR="0048421A">
        <w:rPr>
          <w:rFonts w:ascii="Times New Roman" w:eastAsia="NotDefSpecial" w:hAnsi="Times New Roman" w:cs="Times New Roman"/>
          <w:sz w:val="24"/>
          <w:szCs w:val="24"/>
        </w:rPr>
        <w:t xml:space="preserve">ecessary' to provide reasonable </w:t>
      </w:r>
      <w:r w:rsidRPr="00F63AD9">
        <w:rPr>
          <w:rFonts w:ascii="Times New Roman" w:eastAsia="NotDefSpecial" w:hAnsi="Times New Roman" w:cs="Times New Roman"/>
          <w:sz w:val="24"/>
          <w:szCs w:val="24"/>
        </w:rPr>
        <w:t>assurance of the safety and effectiveness of the device. Your device i</w:t>
      </w:r>
      <w:r w:rsidR="0048421A">
        <w:rPr>
          <w:rFonts w:ascii="Times New Roman" w:eastAsia="NotDefSpecial" w:hAnsi="Times New Roman" w:cs="Times New Roman"/>
          <w:sz w:val="24"/>
          <w:szCs w:val="24"/>
        </w:rPr>
        <w:t>s therefore a restricted device s</w:t>
      </w:r>
      <w:r w:rsidRPr="00F63AD9">
        <w:rPr>
          <w:rFonts w:ascii="Times New Roman" w:eastAsia="NotDefSpecial" w:hAnsi="Times New Roman" w:cs="Times New Roman"/>
          <w:sz w:val="24"/>
          <w:szCs w:val="24"/>
        </w:rPr>
        <w:t>ubject to the requirements in sections 502(q) and (r) of the act, in</w:t>
      </w:r>
      <w:r w:rsidR="0048421A">
        <w:rPr>
          <w:rFonts w:ascii="Times New Roman" w:eastAsia="NotDefSpecial" w:hAnsi="Times New Roman" w:cs="Times New Roman"/>
          <w:sz w:val="24"/>
          <w:szCs w:val="24"/>
        </w:rPr>
        <w:t xml:space="preserve"> addition to the many other FDA </w:t>
      </w:r>
      <w:r w:rsidRPr="00F63AD9">
        <w:rPr>
          <w:rFonts w:ascii="Times New Roman" w:eastAsia="NotDefSpecial" w:hAnsi="Times New Roman" w:cs="Times New Roman"/>
          <w:sz w:val="24"/>
          <w:szCs w:val="24"/>
        </w:rPr>
        <w:t>requirements governing the manufacture, distribution, and marketing of devices.</w:t>
      </w:r>
    </w:p>
    <w:p w:rsidR="0048421A" w:rsidRPr="00F63AD9" w:rsidRDefault="0048421A"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Continued approval of this PMA is contingent upon the submission of periodic reports, required</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under 21 CFR 814.84, at intervals of one year (unless otherwise specified) from the date of</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approval of the original PMA. Two copies of this report, identified</w:t>
      </w:r>
      <w:r w:rsidR="00861F97">
        <w:rPr>
          <w:rFonts w:ascii="Times New Roman" w:eastAsia="NotDefSpecial" w:hAnsi="Times New Roman" w:cs="Times New Roman"/>
          <w:sz w:val="24"/>
          <w:szCs w:val="24"/>
        </w:rPr>
        <w:t xml:space="preserve"> as "Annual Report" (please use </w:t>
      </w:r>
      <w:r w:rsidRPr="00F63AD9">
        <w:rPr>
          <w:rFonts w:ascii="Times New Roman" w:eastAsia="NotDefSpecial" w:hAnsi="Times New Roman" w:cs="Times New Roman"/>
          <w:sz w:val="24"/>
          <w:szCs w:val="24"/>
        </w:rPr>
        <w:t>this title even if the specified interval is more frequent than one y</w:t>
      </w:r>
      <w:r w:rsidR="00861F97">
        <w:rPr>
          <w:rFonts w:ascii="Times New Roman" w:eastAsia="NotDefSpecial" w:hAnsi="Times New Roman" w:cs="Times New Roman"/>
          <w:sz w:val="24"/>
          <w:szCs w:val="24"/>
        </w:rPr>
        <w:t xml:space="preserve">ear) and bearing the applicable </w:t>
      </w:r>
      <w:r w:rsidRPr="00F63AD9">
        <w:rPr>
          <w:rFonts w:ascii="Times New Roman" w:eastAsia="NotDefSpecial" w:hAnsi="Times New Roman" w:cs="Times New Roman"/>
          <w:sz w:val="24"/>
          <w:szCs w:val="24"/>
        </w:rPr>
        <w:t>PMA reference number, should be submitted to the address below.</w:t>
      </w:r>
      <w:r w:rsidR="00861F97">
        <w:rPr>
          <w:rFonts w:ascii="Times New Roman" w:eastAsia="NotDefSpecial" w:hAnsi="Times New Roman" w:cs="Times New Roman"/>
          <w:sz w:val="24"/>
          <w:szCs w:val="24"/>
        </w:rPr>
        <w:t xml:space="preserve"> The Annual Report should </w:t>
      </w:r>
      <w:r w:rsidRPr="00F63AD9">
        <w:rPr>
          <w:rFonts w:ascii="Times New Roman" w:eastAsia="NotDefSpecial" w:hAnsi="Times New Roman" w:cs="Times New Roman"/>
          <w:sz w:val="24"/>
          <w:szCs w:val="24"/>
        </w:rPr>
        <w:t>indicate the beginning and ending date of the period covered by th</w:t>
      </w:r>
      <w:r w:rsidR="00861F97">
        <w:rPr>
          <w:rFonts w:ascii="Times New Roman" w:eastAsia="NotDefSpecial" w:hAnsi="Times New Roman" w:cs="Times New Roman"/>
          <w:sz w:val="24"/>
          <w:szCs w:val="24"/>
        </w:rPr>
        <w:t xml:space="preserve">e report and should include the </w:t>
      </w:r>
      <w:r w:rsidRPr="00F63AD9">
        <w:rPr>
          <w:rFonts w:ascii="Times New Roman" w:eastAsia="NotDefSpecial" w:hAnsi="Times New Roman" w:cs="Times New Roman"/>
          <w:sz w:val="24"/>
          <w:szCs w:val="24"/>
        </w:rPr>
        <w:t>information required by 21 CFR 814.84.</w:t>
      </w:r>
    </w:p>
    <w:p w:rsidR="00861F97" w:rsidRPr="00F63AD9" w:rsidRDefault="00861F97"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In addition to the above, and in order to provide continued reasonable assurance of the safety and</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effectiveness of the device, the Annual Report must include, separ</w:t>
      </w:r>
      <w:r w:rsidR="00861F97">
        <w:rPr>
          <w:rFonts w:ascii="Times New Roman" w:eastAsia="NotDefSpecial" w:hAnsi="Times New Roman" w:cs="Times New Roman"/>
          <w:sz w:val="24"/>
          <w:szCs w:val="24"/>
        </w:rPr>
        <w:t xml:space="preserve">ately for each model number (if </w:t>
      </w:r>
      <w:r w:rsidRPr="00F63AD9">
        <w:rPr>
          <w:rFonts w:ascii="Times New Roman" w:eastAsia="NotDefSpecial" w:hAnsi="Times New Roman" w:cs="Times New Roman"/>
          <w:sz w:val="24"/>
          <w:szCs w:val="24"/>
        </w:rPr>
        <w:t>applicable), the number of devices sold and distributed during the re</w:t>
      </w:r>
      <w:r w:rsidR="00861F97">
        <w:rPr>
          <w:rFonts w:ascii="Times New Roman" w:eastAsia="NotDefSpecial" w:hAnsi="Times New Roman" w:cs="Times New Roman"/>
          <w:sz w:val="24"/>
          <w:szCs w:val="24"/>
        </w:rPr>
        <w:t xml:space="preserve">porting period, including those </w:t>
      </w:r>
      <w:r w:rsidRPr="00F63AD9">
        <w:rPr>
          <w:rFonts w:ascii="Times New Roman" w:eastAsia="NotDefSpecial" w:hAnsi="Times New Roman" w:cs="Times New Roman"/>
          <w:sz w:val="24"/>
          <w:szCs w:val="24"/>
        </w:rPr>
        <w:t>distributed to distributors. The distribution data will serve as a de</w:t>
      </w:r>
      <w:r w:rsidR="00861F97">
        <w:rPr>
          <w:rFonts w:ascii="Times New Roman" w:eastAsia="NotDefSpecial" w:hAnsi="Times New Roman" w:cs="Times New Roman"/>
          <w:sz w:val="24"/>
          <w:szCs w:val="24"/>
        </w:rPr>
        <w:t xml:space="preserve">nominator and provide necessary </w:t>
      </w:r>
      <w:r w:rsidRPr="00F63AD9">
        <w:rPr>
          <w:rFonts w:ascii="Times New Roman" w:eastAsia="NotDefSpecial" w:hAnsi="Times New Roman" w:cs="Times New Roman"/>
          <w:sz w:val="24"/>
          <w:szCs w:val="24"/>
        </w:rPr>
        <w:t>context for FDA to ascertain the frequency and prevalence of adver</w:t>
      </w:r>
      <w:r w:rsidR="00861F97">
        <w:rPr>
          <w:rFonts w:ascii="Times New Roman" w:eastAsia="NotDefSpecial" w:hAnsi="Times New Roman" w:cs="Times New Roman"/>
          <w:sz w:val="24"/>
          <w:szCs w:val="24"/>
        </w:rPr>
        <w:t xml:space="preserve">se events, as FDA evaluates the </w:t>
      </w:r>
      <w:r w:rsidRPr="00F63AD9">
        <w:rPr>
          <w:rFonts w:ascii="Times New Roman" w:eastAsia="NotDefSpecial" w:hAnsi="Times New Roman" w:cs="Times New Roman"/>
          <w:sz w:val="24"/>
          <w:szCs w:val="24"/>
        </w:rPr>
        <w:t>continued safety and effectiveness of the device.</w:t>
      </w:r>
    </w:p>
    <w:p w:rsidR="00FE09EB" w:rsidRDefault="00FE09EB">
      <w:pPr>
        <w:rPr>
          <w:rFonts w:ascii="Times New Roman" w:eastAsia="NotDefSpecial" w:hAnsi="Times New Roman" w:cs="Times New Roman"/>
          <w:sz w:val="24"/>
          <w:szCs w:val="24"/>
        </w:rPr>
      </w:pPr>
      <w:r>
        <w:rPr>
          <w:rFonts w:ascii="Times New Roman" w:eastAsia="NotDefSpecial" w:hAnsi="Times New Roman" w:cs="Times New Roman"/>
          <w:sz w:val="24"/>
          <w:szCs w:val="24"/>
        </w:rPr>
        <w:br w:type="page"/>
      </w:r>
    </w:p>
    <w:p w:rsidR="00906748" w:rsidRDefault="00906748"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lastRenderedPageBreak/>
        <w:t>Page 3 – Mr. Watson</w:t>
      </w:r>
    </w:p>
    <w:p w:rsidR="00906748" w:rsidRDefault="00906748"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In addition to the Annual Report requirements, you must provide the</w:t>
      </w:r>
      <w:r w:rsidR="0048421A">
        <w:rPr>
          <w:rFonts w:ascii="Times New Roman" w:eastAsia="NotDefSpecial" w:hAnsi="Times New Roman" w:cs="Times New Roman"/>
          <w:sz w:val="24"/>
          <w:szCs w:val="24"/>
        </w:rPr>
        <w:t xml:space="preserve"> following data in post approval </w:t>
      </w:r>
      <w:r w:rsidRPr="00F63AD9">
        <w:rPr>
          <w:rFonts w:ascii="Times New Roman" w:eastAsia="NotDefSpecial" w:hAnsi="Times New Roman" w:cs="Times New Roman"/>
          <w:sz w:val="24"/>
          <w:szCs w:val="24"/>
        </w:rPr>
        <w:t>study reports (PAS). Two copies, identified as "PMA Post-Approval Study Report" and</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bearing the applicable PMA reference number, should be submitted to the address below.</w:t>
      </w:r>
    </w:p>
    <w:p w:rsidR="00F63AD9" w:rsidRDefault="00F63AD9" w:rsidP="005E1F3F">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1. You must conduct a post approval study that will evaluate whether </w:t>
      </w:r>
      <w:proofErr w:type="spellStart"/>
      <w:r w:rsidR="005E1F3F">
        <w:rPr>
          <w:rFonts w:ascii="Times New Roman" w:eastAsia="NotDefSpecial" w:hAnsi="Times New Roman" w:cs="Times New Roman"/>
          <w:sz w:val="24"/>
          <w:szCs w:val="24"/>
        </w:rPr>
        <w:t>BioBanking</w:t>
      </w:r>
      <w:proofErr w:type="spellEnd"/>
      <w:r w:rsidRPr="00F63AD9">
        <w:rPr>
          <w:rFonts w:ascii="Times New Roman" w:eastAsia="NotDefSpecial" w:hAnsi="Times New Roman" w:cs="Times New Roman"/>
          <w:sz w:val="24"/>
          <w:szCs w:val="24"/>
        </w:rPr>
        <w:t xml:space="preserve"> </w:t>
      </w:r>
      <w:r w:rsidR="005E1F3F">
        <w:rPr>
          <w:rFonts w:ascii="Times New Roman" w:eastAsia="NotDefSpecial" w:hAnsi="Times New Roman" w:cs="Times New Roman"/>
          <w:sz w:val="24"/>
          <w:szCs w:val="24"/>
        </w:rPr>
        <w:t xml:space="preserve">causes adverse skin reaction in the majority of consumers where it is implemented. </w:t>
      </w:r>
    </w:p>
    <w:p w:rsidR="0048421A" w:rsidRPr="00F63AD9" w:rsidRDefault="0048421A"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2. The study will be a multi-center, single arm, observational, prospective study to gather data</w:t>
      </w:r>
    </w:p>
    <w:p w:rsidR="00F63AD9" w:rsidRDefault="00F63AD9" w:rsidP="005E1F3F">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on </w:t>
      </w:r>
      <w:r w:rsidR="005E1F3F">
        <w:rPr>
          <w:rFonts w:ascii="Times New Roman" w:eastAsia="NotDefSpecial" w:hAnsi="Times New Roman" w:cs="Times New Roman"/>
          <w:sz w:val="24"/>
          <w:szCs w:val="24"/>
        </w:rPr>
        <w:t>whether the insertion procedures introduce pathogens into the consumer. The study must be completed on a statistically relevant set of consumers and the findings independently verified.</w:t>
      </w:r>
    </w:p>
    <w:p w:rsidR="005E1F3F" w:rsidRPr="00F63AD9" w:rsidRDefault="005E1F3F" w:rsidP="005E1F3F">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FDA would like to remind you that you are required to submit separate PAS Progress Reports</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every six months during the first two years and annually thereafter. The reports should clearly be</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identified as Post-Approval Study Report. Two copies for each study, identified as "PMA Post-</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Approval Study Report" and bearing the applicable PMA reference</w:t>
      </w:r>
      <w:r w:rsidR="005E1F3F">
        <w:rPr>
          <w:rFonts w:ascii="Times New Roman" w:eastAsia="NotDefSpecial" w:hAnsi="Times New Roman" w:cs="Times New Roman"/>
          <w:sz w:val="24"/>
          <w:szCs w:val="24"/>
        </w:rPr>
        <w:t xml:space="preserve"> number, should be submitted to t</w:t>
      </w:r>
      <w:r w:rsidRPr="00F63AD9">
        <w:rPr>
          <w:rFonts w:ascii="Times New Roman" w:eastAsia="NotDefSpecial" w:hAnsi="Times New Roman" w:cs="Times New Roman"/>
          <w:sz w:val="24"/>
          <w:szCs w:val="24"/>
        </w:rPr>
        <w:t>he address below. For more information on post-approval studies, see the FDA guidance</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document entitled, "Procedures for Handling Post-Approval Studies Imposed by PMA Order"</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w:t>
      </w:r>
      <w:hyperlink r:id="rId8" w:anchor="2" w:history="1">
        <w:r w:rsidR="005E1F3F" w:rsidRPr="00275781">
          <w:rPr>
            <w:rStyle w:val="Hyperlink"/>
            <w:rFonts w:ascii="Times New Roman" w:eastAsia="NotDefSpecial" w:hAnsi="Times New Roman" w:cs="Times New Roman"/>
            <w:sz w:val="24"/>
            <w:szCs w:val="24"/>
          </w:rPr>
          <w:t>www.fda.gov/MedicalDevices/DeviceRegulationandGuidance/GuidanceDocuments/ucm070974htm#2</w:t>
        </w:r>
      </w:hyperlink>
      <w:r w:rsidRPr="00F63AD9">
        <w:rPr>
          <w:rFonts w:ascii="Times New Roman" w:eastAsia="NotDefSpecial" w:hAnsi="Times New Roman" w:cs="Times New Roman"/>
          <w:sz w:val="24"/>
          <w:szCs w:val="24"/>
        </w:rPr>
        <w:t>).</w:t>
      </w:r>
    </w:p>
    <w:p w:rsidR="005E1F3F" w:rsidRPr="00F63AD9" w:rsidRDefault="005E1F3F"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Be advised that the failure to conduct any such study in compliance with the good clinical</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laboratory practices in 21 CFR part 58 (if a non-clinical study subject t</w:t>
      </w:r>
      <w:r w:rsidR="00A2611D">
        <w:rPr>
          <w:rFonts w:ascii="Times New Roman" w:eastAsia="NotDefSpecial" w:hAnsi="Times New Roman" w:cs="Times New Roman"/>
          <w:sz w:val="24"/>
          <w:szCs w:val="24"/>
        </w:rPr>
        <w:t xml:space="preserve">o part 58) or the institutional </w:t>
      </w:r>
      <w:r w:rsidRPr="00F63AD9">
        <w:rPr>
          <w:rFonts w:ascii="Times New Roman" w:eastAsia="NotDefSpecial" w:hAnsi="Times New Roman" w:cs="Times New Roman"/>
          <w:sz w:val="24"/>
          <w:szCs w:val="24"/>
        </w:rPr>
        <w:t>review board regulations in 21 CFR part 56 and the informed con</w:t>
      </w:r>
      <w:r w:rsidR="00A2611D">
        <w:rPr>
          <w:rFonts w:ascii="Times New Roman" w:eastAsia="NotDefSpecial" w:hAnsi="Times New Roman" w:cs="Times New Roman"/>
          <w:sz w:val="24"/>
          <w:szCs w:val="24"/>
        </w:rPr>
        <w:t xml:space="preserve">sent regulations in 21 CFR part </w:t>
      </w:r>
      <w:r w:rsidRPr="00F63AD9">
        <w:rPr>
          <w:rFonts w:ascii="Times New Roman" w:eastAsia="NotDefSpecial" w:hAnsi="Times New Roman" w:cs="Times New Roman"/>
          <w:sz w:val="24"/>
          <w:szCs w:val="24"/>
        </w:rPr>
        <w:t>50 (if a clinical study involving human subjects) may be grounds</w:t>
      </w:r>
      <w:r w:rsidR="00A2611D">
        <w:rPr>
          <w:rFonts w:ascii="Times New Roman" w:eastAsia="NotDefSpecial" w:hAnsi="Times New Roman" w:cs="Times New Roman"/>
          <w:sz w:val="24"/>
          <w:szCs w:val="24"/>
        </w:rPr>
        <w:t xml:space="preserve"> for FDA withdrawal of approval </w:t>
      </w:r>
      <w:r w:rsidRPr="00F63AD9">
        <w:rPr>
          <w:rFonts w:ascii="Times New Roman" w:eastAsia="NotDefSpecial" w:hAnsi="Times New Roman" w:cs="Times New Roman"/>
          <w:sz w:val="24"/>
          <w:szCs w:val="24"/>
        </w:rPr>
        <w:t>of the PMA.</w:t>
      </w:r>
    </w:p>
    <w:p w:rsidR="00A2611D" w:rsidRPr="00F63AD9" w:rsidRDefault="00A2611D"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Within 30 days of your receipt of this letter, you must submit a PMA supplement that includes a</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complete protocol of your post-approval study. Your PMA supplement should be clearly labeled</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as a "Post-Approval Study Protocol" and submitted in triplicate to the address below. Please</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reference the PMA number above to facilitate processing. If there are multiple protocols being</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finalized after PMA approval, please submit each protocol as a separate PMA supplement. For</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more information on post-approval studies, see the </w:t>
      </w:r>
      <w:r w:rsidR="00A2611D">
        <w:rPr>
          <w:rFonts w:ascii="Times New Roman" w:eastAsia="NotDefSpecial" w:hAnsi="Times New Roman" w:cs="Times New Roman"/>
          <w:sz w:val="24"/>
          <w:szCs w:val="24"/>
        </w:rPr>
        <w:t xml:space="preserve">FDA guidance document entitled, "Procedures </w:t>
      </w:r>
      <w:r w:rsidRPr="00F63AD9">
        <w:rPr>
          <w:rFonts w:ascii="Times New Roman" w:eastAsia="NotDefSpecial" w:hAnsi="Times New Roman" w:cs="Times New Roman"/>
          <w:sz w:val="24"/>
          <w:szCs w:val="24"/>
        </w:rPr>
        <w:t>for Handling Post-Approval Studies Imposed by PMA Order"</w:t>
      </w:r>
    </w:p>
    <w:p w:rsidR="00F63AD9" w:rsidRDefault="00A2611D"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t>(</w:t>
      </w:r>
      <w:hyperlink r:id="rId9" w:anchor="2" w:history="1">
        <w:r w:rsidRPr="00275781">
          <w:rPr>
            <w:rStyle w:val="Hyperlink"/>
            <w:rFonts w:ascii="Times New Roman" w:eastAsia="NotDefSpecial" w:hAnsi="Times New Roman" w:cs="Times New Roman"/>
            <w:sz w:val="24"/>
            <w:szCs w:val="24"/>
          </w:rPr>
          <w:t>www.fda.gov/MedicalDevices/DeviceRegulationandGuidance/GuidanceDocuments/ucm070974.htm#2</w:t>
        </w:r>
      </w:hyperlink>
      <w:r w:rsidR="00F63AD9" w:rsidRPr="00F63AD9">
        <w:rPr>
          <w:rFonts w:ascii="Times New Roman" w:eastAsia="NotDefSpecial" w:hAnsi="Times New Roman" w:cs="Times New Roman"/>
          <w:sz w:val="24"/>
          <w:szCs w:val="24"/>
        </w:rPr>
        <w:t>).</w:t>
      </w:r>
    </w:p>
    <w:p w:rsidR="00A2611D" w:rsidRPr="00F63AD9" w:rsidRDefault="00A2611D"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Before making any change affecting the safety or effectiveness of the device, you must submit a</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PMA supplement or an alternate submission (30-day notice) in accordance with 21 CFR 814.39.</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All PMA supplements and alternate submissions (30-day notice) </w:t>
      </w:r>
      <w:r w:rsidR="00A2611D">
        <w:rPr>
          <w:rFonts w:ascii="Times New Roman" w:eastAsia="NotDefSpecial" w:hAnsi="Times New Roman" w:cs="Times New Roman"/>
          <w:sz w:val="24"/>
          <w:szCs w:val="24"/>
        </w:rPr>
        <w:t xml:space="preserve">must comply with the applicable </w:t>
      </w:r>
      <w:r w:rsidRPr="00F63AD9">
        <w:rPr>
          <w:rFonts w:ascii="Times New Roman" w:eastAsia="NotDefSpecial" w:hAnsi="Times New Roman" w:cs="Times New Roman"/>
          <w:sz w:val="24"/>
          <w:szCs w:val="24"/>
        </w:rPr>
        <w:t>requirements in 21 CFR 814.39. For more information, p</w:t>
      </w:r>
      <w:r w:rsidR="00A2611D">
        <w:rPr>
          <w:rFonts w:ascii="Times New Roman" w:eastAsia="NotDefSpecial" w:hAnsi="Times New Roman" w:cs="Times New Roman"/>
          <w:sz w:val="24"/>
          <w:szCs w:val="24"/>
        </w:rPr>
        <w:t xml:space="preserve">lease refer to the FDA guidance </w:t>
      </w:r>
      <w:r w:rsidRPr="00F63AD9">
        <w:rPr>
          <w:rFonts w:ascii="Times New Roman" w:eastAsia="NotDefSpecial" w:hAnsi="Times New Roman" w:cs="Times New Roman"/>
          <w:sz w:val="24"/>
          <w:szCs w:val="24"/>
        </w:rPr>
        <w:t>document entitled, "Modifications to Devices Subject to Premarket Appro</w:t>
      </w:r>
      <w:r w:rsidR="00A2611D">
        <w:rPr>
          <w:rFonts w:ascii="Times New Roman" w:eastAsia="NotDefSpecial" w:hAnsi="Times New Roman" w:cs="Times New Roman"/>
          <w:sz w:val="24"/>
          <w:szCs w:val="24"/>
        </w:rPr>
        <w:t xml:space="preserve">val (PMA) - The PMA </w:t>
      </w:r>
      <w:r w:rsidRPr="00F63AD9">
        <w:rPr>
          <w:rFonts w:ascii="Times New Roman" w:eastAsia="NotDefSpecial" w:hAnsi="Times New Roman" w:cs="Times New Roman"/>
          <w:sz w:val="24"/>
          <w:szCs w:val="24"/>
        </w:rPr>
        <w:t>Supplement Decision-Making Process"</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(ww\v.fda.gov/MedicalDevices/DeviceRegulationandGuidanc</w:t>
      </w:r>
      <w:r w:rsidR="00A2611D">
        <w:rPr>
          <w:rFonts w:ascii="Times New Roman" w:eastAsia="NotDefSpecial" w:hAnsi="Times New Roman" w:cs="Times New Roman"/>
          <w:sz w:val="24"/>
          <w:szCs w:val="24"/>
        </w:rPr>
        <w:t>e/GuidanceDocuments/ucm089274.h</w:t>
      </w:r>
      <w:r w:rsidRPr="00F63AD9">
        <w:rPr>
          <w:rFonts w:ascii="Times New Roman" w:eastAsia="NotDefSpecial" w:hAnsi="Times New Roman" w:cs="Times New Roman"/>
          <w:sz w:val="24"/>
          <w:szCs w:val="24"/>
        </w:rPr>
        <w:t>tm).</w:t>
      </w:r>
    </w:p>
    <w:p w:rsidR="00A2611D" w:rsidRDefault="00906748" w:rsidP="00F63AD9">
      <w:pPr>
        <w:autoSpaceDE w:val="0"/>
        <w:autoSpaceDN w:val="0"/>
        <w:adjustRightInd w:val="0"/>
        <w:spacing w:after="0" w:line="240" w:lineRule="auto"/>
        <w:rPr>
          <w:rFonts w:ascii="Times New Roman" w:eastAsia="NotDefSpecial" w:hAnsi="Times New Roman" w:cs="Times New Roman"/>
          <w:sz w:val="24"/>
          <w:szCs w:val="24"/>
        </w:rPr>
      </w:pPr>
      <w:r>
        <w:rPr>
          <w:rFonts w:ascii="Times New Roman" w:eastAsia="NotDefSpecial" w:hAnsi="Times New Roman" w:cs="Times New Roman"/>
          <w:sz w:val="24"/>
          <w:szCs w:val="24"/>
        </w:rPr>
        <w:lastRenderedPageBreak/>
        <w:t>Page 4 – Mr. Watson</w:t>
      </w:r>
    </w:p>
    <w:p w:rsidR="00906748" w:rsidRPr="00F63AD9" w:rsidRDefault="00906748"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CDRH wi</w:t>
      </w:r>
      <w:r w:rsidR="00A2611D">
        <w:rPr>
          <w:rFonts w:ascii="Times New Roman" w:eastAsia="NotDefSpecial" w:hAnsi="Times New Roman" w:cs="Times New Roman"/>
          <w:sz w:val="24"/>
          <w:szCs w:val="24"/>
        </w:rPr>
        <w:t xml:space="preserve">ll notify the public of </w:t>
      </w:r>
      <w:r w:rsidRPr="00F63AD9">
        <w:rPr>
          <w:rFonts w:ascii="Times New Roman" w:eastAsia="NotDefSpecial" w:hAnsi="Times New Roman" w:cs="Times New Roman"/>
          <w:sz w:val="24"/>
          <w:szCs w:val="24"/>
        </w:rPr>
        <w:t>its decision to approve your PMA by making available, among othe</w:t>
      </w:r>
      <w:r w:rsidR="00A2611D">
        <w:rPr>
          <w:rFonts w:ascii="Times New Roman" w:eastAsia="NotDefSpecial" w:hAnsi="Times New Roman" w:cs="Times New Roman"/>
          <w:sz w:val="24"/>
          <w:szCs w:val="24"/>
        </w:rPr>
        <w:t xml:space="preserve">r information, a summary of the </w:t>
      </w:r>
      <w:r w:rsidRPr="00F63AD9">
        <w:rPr>
          <w:rFonts w:ascii="Times New Roman" w:eastAsia="NotDefSpecial" w:hAnsi="Times New Roman" w:cs="Times New Roman"/>
          <w:sz w:val="24"/>
          <w:szCs w:val="24"/>
        </w:rPr>
        <w:t xml:space="preserve">safety and effectiveness data upon which the approval is based. </w:t>
      </w:r>
      <w:r w:rsidR="00A2611D">
        <w:rPr>
          <w:rFonts w:ascii="Times New Roman" w:eastAsia="NotDefSpecial" w:hAnsi="Times New Roman" w:cs="Times New Roman"/>
          <w:sz w:val="24"/>
          <w:szCs w:val="24"/>
        </w:rPr>
        <w:t xml:space="preserve">The information can be found on </w:t>
      </w:r>
      <w:r w:rsidRPr="00F63AD9">
        <w:rPr>
          <w:rFonts w:ascii="Times New Roman" w:eastAsia="NotDefSpecial" w:hAnsi="Times New Roman" w:cs="Times New Roman"/>
          <w:sz w:val="24"/>
          <w:szCs w:val="24"/>
        </w:rPr>
        <w:t>the FDA CDRH Internet Home</w:t>
      </w:r>
      <w:r w:rsidR="00A2611D">
        <w:rPr>
          <w:rFonts w:ascii="Times New Roman" w:eastAsia="NotDefSpecial" w:hAnsi="Times New Roman" w:cs="Times New Roman"/>
          <w:sz w:val="24"/>
          <w:szCs w:val="24"/>
        </w:rPr>
        <w:t xml:space="preserve"> </w:t>
      </w:r>
      <w:r w:rsidRPr="00F63AD9">
        <w:rPr>
          <w:rFonts w:ascii="Times New Roman" w:eastAsia="NotDefSpecial" w:hAnsi="Times New Roman" w:cs="Times New Roman"/>
          <w:sz w:val="24"/>
          <w:szCs w:val="24"/>
        </w:rPr>
        <w:t>Page located at</w:t>
      </w:r>
      <w:r w:rsidR="00A2611D">
        <w:rPr>
          <w:rFonts w:ascii="Times New Roman" w:eastAsia="NotDefSpecial" w:hAnsi="Times New Roman" w:cs="Times New Roman"/>
          <w:sz w:val="24"/>
          <w:szCs w:val="24"/>
        </w:rPr>
        <w:t>:</w:t>
      </w:r>
    </w:p>
    <w:p w:rsidR="00A2611D"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www.fda.gov/</w:t>
      </w:r>
      <w:r w:rsidR="00A2611D">
        <w:rPr>
          <w:rFonts w:ascii="Times New Roman" w:eastAsia="NotDefSpecial" w:hAnsi="Times New Roman" w:cs="Times New Roman"/>
          <w:sz w:val="24"/>
          <w:szCs w:val="24"/>
        </w:rPr>
        <w:t>Radiological</w:t>
      </w:r>
      <w:r w:rsidRPr="00F63AD9">
        <w:rPr>
          <w:rFonts w:ascii="Times New Roman" w:eastAsia="NotDefSpecial" w:hAnsi="Times New Roman" w:cs="Times New Roman"/>
          <w:sz w:val="24"/>
          <w:szCs w:val="24"/>
        </w:rPr>
        <w:t>Devices/Products/</w:t>
      </w:r>
      <w:r w:rsidR="00A2611D">
        <w:rPr>
          <w:rFonts w:ascii="Times New Roman" w:eastAsia="NotDefSpecial" w:hAnsi="Times New Roman" w:cs="Times New Roman"/>
          <w:sz w:val="24"/>
          <w:szCs w:val="24"/>
        </w:rPr>
        <w:t>DeviceApprovalsandClearances/P</w:t>
      </w:r>
      <w:r w:rsidRPr="00F63AD9">
        <w:rPr>
          <w:rFonts w:ascii="Times New Roman" w:eastAsia="NotDefSpecial" w:hAnsi="Times New Roman" w:cs="Times New Roman"/>
          <w:sz w:val="24"/>
          <w:szCs w:val="24"/>
        </w:rPr>
        <w:t xml:space="preserve">MAApprovals/default.htm. </w:t>
      </w:r>
    </w:p>
    <w:p w:rsidR="00A2611D" w:rsidRDefault="00A2611D"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Failure to comply with any post-approval requirement constitutes a ground for withdrawal of</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approval of a PMA. The introduction or delivery for introduction into interstate commerce of a</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device that is not in compliance with its conditions of approval is a violation of law.</w:t>
      </w:r>
    </w:p>
    <w:p w:rsid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You are reminded that, as soon as possible and before commercial d</w:t>
      </w:r>
      <w:r w:rsidR="00F67D33">
        <w:rPr>
          <w:rFonts w:ascii="Times New Roman" w:eastAsia="NotDefSpecial" w:hAnsi="Times New Roman" w:cs="Times New Roman"/>
          <w:sz w:val="24"/>
          <w:szCs w:val="24"/>
        </w:rPr>
        <w:t xml:space="preserve">istribution of your device, you </w:t>
      </w:r>
      <w:r w:rsidRPr="00F63AD9">
        <w:rPr>
          <w:rFonts w:ascii="Times New Roman" w:eastAsia="NotDefSpecial" w:hAnsi="Times New Roman" w:cs="Times New Roman"/>
          <w:sz w:val="24"/>
          <w:szCs w:val="24"/>
        </w:rPr>
        <w:t>must submit an amendment to this PMA submission with copies of</w:t>
      </w:r>
      <w:r w:rsidR="00F67D33">
        <w:rPr>
          <w:rFonts w:ascii="Times New Roman" w:eastAsia="NotDefSpecial" w:hAnsi="Times New Roman" w:cs="Times New Roman"/>
          <w:sz w:val="24"/>
          <w:szCs w:val="24"/>
        </w:rPr>
        <w:t xml:space="preserve"> all approved labeling in final </w:t>
      </w:r>
      <w:r w:rsidRPr="00F63AD9">
        <w:rPr>
          <w:rFonts w:ascii="Times New Roman" w:eastAsia="NotDefSpecial" w:hAnsi="Times New Roman" w:cs="Times New Roman"/>
          <w:sz w:val="24"/>
          <w:szCs w:val="24"/>
        </w:rPr>
        <w:t xml:space="preserve">printed form. Final printed labeling that is identical to the labeling </w:t>
      </w:r>
      <w:r w:rsidR="00F67D33">
        <w:rPr>
          <w:rFonts w:ascii="Times New Roman" w:eastAsia="NotDefSpecial" w:hAnsi="Times New Roman" w:cs="Times New Roman"/>
          <w:sz w:val="24"/>
          <w:szCs w:val="24"/>
        </w:rPr>
        <w:t xml:space="preserve">approved in draft form will not </w:t>
      </w:r>
      <w:r w:rsidRPr="00F63AD9">
        <w:rPr>
          <w:rFonts w:ascii="Times New Roman" w:eastAsia="NotDefSpecial" w:hAnsi="Times New Roman" w:cs="Times New Roman"/>
          <w:sz w:val="24"/>
          <w:szCs w:val="24"/>
        </w:rPr>
        <w:t>routinely be reviewed by FDA staff when accompanied by a cover</w:t>
      </w:r>
      <w:r w:rsidR="00F67D33">
        <w:rPr>
          <w:rFonts w:ascii="Times New Roman" w:eastAsia="NotDefSpecial" w:hAnsi="Times New Roman" w:cs="Times New Roman"/>
          <w:sz w:val="24"/>
          <w:szCs w:val="24"/>
        </w:rPr>
        <w:t xml:space="preserve"> letter stating that the" final </w:t>
      </w:r>
      <w:r w:rsidRPr="00F63AD9">
        <w:rPr>
          <w:rFonts w:ascii="Times New Roman" w:eastAsia="NotDefSpecial" w:hAnsi="Times New Roman" w:cs="Times New Roman"/>
          <w:sz w:val="24"/>
          <w:szCs w:val="24"/>
        </w:rPr>
        <w:t>printed labeling is identical to the labeling approved in draft form. I</w:t>
      </w:r>
      <w:r w:rsidR="00F67D33">
        <w:rPr>
          <w:rFonts w:ascii="Times New Roman" w:eastAsia="NotDefSpecial" w:hAnsi="Times New Roman" w:cs="Times New Roman"/>
          <w:sz w:val="24"/>
          <w:szCs w:val="24"/>
        </w:rPr>
        <w:t xml:space="preserve">f the final printed labeling is </w:t>
      </w:r>
      <w:r w:rsidRPr="00F63AD9">
        <w:rPr>
          <w:rFonts w:ascii="Times New Roman" w:eastAsia="NotDefSpecial" w:hAnsi="Times New Roman" w:cs="Times New Roman"/>
          <w:sz w:val="24"/>
          <w:szCs w:val="24"/>
        </w:rPr>
        <w:t>not identical, any changes from the final draft labeling should be h</w:t>
      </w:r>
      <w:r w:rsidR="00F67D33">
        <w:rPr>
          <w:rFonts w:ascii="Times New Roman" w:eastAsia="NotDefSpecial" w:hAnsi="Times New Roman" w:cs="Times New Roman"/>
          <w:sz w:val="24"/>
          <w:szCs w:val="24"/>
        </w:rPr>
        <w:t xml:space="preserve">ighlighted and explained in the </w:t>
      </w:r>
      <w:r w:rsidRPr="00F63AD9">
        <w:rPr>
          <w:rFonts w:ascii="Times New Roman" w:eastAsia="NotDefSpecial" w:hAnsi="Times New Roman" w:cs="Times New Roman"/>
          <w:sz w:val="24"/>
          <w:szCs w:val="24"/>
        </w:rPr>
        <w:t>amendment.</w:t>
      </w:r>
    </w:p>
    <w:p w:rsidR="00F67D33" w:rsidRPr="00F63AD9" w:rsidRDefault="00F67D33" w:rsidP="00F63AD9">
      <w:pPr>
        <w:autoSpaceDE w:val="0"/>
        <w:autoSpaceDN w:val="0"/>
        <w:adjustRightInd w:val="0"/>
        <w:spacing w:after="0" w:line="240" w:lineRule="auto"/>
        <w:rPr>
          <w:rFonts w:ascii="Times New Roman" w:eastAsia="NotDefSpecial" w:hAnsi="Times New Roman" w:cs="Times New Roman"/>
          <w:sz w:val="24"/>
          <w:szCs w:val="24"/>
        </w:rPr>
      </w:pPr>
    </w:p>
    <w:p w:rsidR="00F67D33" w:rsidRPr="00F63AD9" w:rsidRDefault="00F63AD9" w:rsidP="00F67D33">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All required documents should be submitted in triplicate, unless othe</w:t>
      </w:r>
      <w:r w:rsidR="00F67D33">
        <w:rPr>
          <w:rFonts w:ascii="Times New Roman" w:eastAsia="NotDefSpecial" w:hAnsi="Times New Roman" w:cs="Times New Roman"/>
          <w:sz w:val="24"/>
          <w:szCs w:val="24"/>
        </w:rPr>
        <w:t xml:space="preserve">rwise specified, to the address </w:t>
      </w:r>
      <w:r w:rsidRPr="00F63AD9">
        <w:rPr>
          <w:rFonts w:ascii="Times New Roman" w:eastAsia="NotDefSpecial" w:hAnsi="Times New Roman" w:cs="Times New Roman"/>
          <w:sz w:val="24"/>
          <w:szCs w:val="24"/>
        </w:rPr>
        <w:t>below and should reference the above PMA number to facilitate</w:t>
      </w:r>
      <w:r w:rsidR="00F67D33">
        <w:rPr>
          <w:rFonts w:ascii="Times New Roman" w:eastAsia="NotDefSpecial" w:hAnsi="Times New Roman" w:cs="Times New Roman"/>
          <w:sz w:val="24"/>
          <w:szCs w:val="24"/>
        </w:rPr>
        <w:t xml:space="preserve"> processing. One of those three </w:t>
      </w:r>
      <w:r w:rsidRPr="00F63AD9">
        <w:rPr>
          <w:rFonts w:ascii="Times New Roman" w:eastAsia="NotDefSpecial" w:hAnsi="Times New Roman" w:cs="Times New Roman"/>
          <w:sz w:val="24"/>
          <w:szCs w:val="24"/>
        </w:rPr>
        <w:t>copies may be an electronic copy (</w:t>
      </w:r>
      <w:proofErr w:type="spellStart"/>
      <w:r w:rsidRPr="00F63AD9">
        <w:rPr>
          <w:rFonts w:ascii="Times New Roman" w:eastAsia="NotDefSpecial" w:hAnsi="Times New Roman" w:cs="Times New Roman"/>
          <w:sz w:val="24"/>
          <w:szCs w:val="24"/>
        </w:rPr>
        <w:t>eCopy</w:t>
      </w:r>
      <w:proofErr w:type="spellEnd"/>
      <w:r w:rsidRPr="00F63AD9">
        <w:rPr>
          <w:rFonts w:ascii="Times New Roman" w:eastAsia="NotDefSpecial" w:hAnsi="Times New Roman" w:cs="Times New Roman"/>
          <w:sz w:val="24"/>
          <w:szCs w:val="24"/>
        </w:rPr>
        <w:t>), in an electronic form</w:t>
      </w:r>
      <w:r w:rsidR="00F67D33">
        <w:rPr>
          <w:rFonts w:ascii="Times New Roman" w:eastAsia="NotDefSpecial" w:hAnsi="Times New Roman" w:cs="Times New Roman"/>
          <w:sz w:val="24"/>
          <w:szCs w:val="24"/>
        </w:rPr>
        <w:t xml:space="preserve">at that FDA can process, review </w:t>
      </w:r>
      <w:r w:rsidRPr="00F63AD9">
        <w:rPr>
          <w:rFonts w:ascii="Times New Roman" w:eastAsia="NotDefSpecial" w:hAnsi="Times New Roman" w:cs="Times New Roman"/>
          <w:sz w:val="24"/>
          <w:szCs w:val="24"/>
        </w:rPr>
        <w:t>an</w:t>
      </w:r>
      <w:r w:rsidR="00F67D33">
        <w:rPr>
          <w:rFonts w:ascii="Times New Roman" w:eastAsia="NotDefSpecial" w:hAnsi="Times New Roman" w:cs="Times New Roman"/>
          <w:sz w:val="24"/>
          <w:szCs w:val="24"/>
        </w:rPr>
        <w:t xml:space="preserve">d archive. </w:t>
      </w: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U.S. Food and Drug Administration</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Center for Devices and Radiological Health</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PMA Document Mail Center - WO66-G609</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10903 New Hampshire Avenue</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Silver Spring, MD 20993-0002</w:t>
      </w:r>
    </w:p>
    <w:p w:rsidR="00F67D33" w:rsidRDefault="00F67D33" w:rsidP="00F63AD9">
      <w:pPr>
        <w:autoSpaceDE w:val="0"/>
        <w:autoSpaceDN w:val="0"/>
        <w:adjustRightInd w:val="0"/>
        <w:spacing w:after="0" w:line="240" w:lineRule="auto"/>
        <w:rPr>
          <w:rFonts w:ascii="Times New Roman" w:eastAsia="NotDefSpecial" w:hAnsi="Times New Roman" w:cs="Times New Roman"/>
          <w:sz w:val="24"/>
          <w:szCs w:val="24"/>
        </w:rPr>
      </w:pPr>
    </w:p>
    <w:p w:rsidR="00F63AD9" w:rsidRPr="00F63AD9" w:rsidRDefault="00F63AD9" w:rsidP="00F63AD9">
      <w:pPr>
        <w:autoSpaceDE w:val="0"/>
        <w:autoSpaceDN w:val="0"/>
        <w:adjustRightInd w:val="0"/>
        <w:spacing w:after="0" w:line="240" w:lineRule="auto"/>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 xml:space="preserve">If you have any questions concerning this letter, please contact </w:t>
      </w:r>
      <w:proofErr w:type="spellStart"/>
      <w:r w:rsidRPr="00F63AD9">
        <w:rPr>
          <w:rFonts w:ascii="Times New Roman" w:eastAsia="NotDefSpecial" w:hAnsi="Times New Roman" w:cs="Times New Roman"/>
          <w:sz w:val="24"/>
          <w:szCs w:val="24"/>
        </w:rPr>
        <w:t>Atiq</w:t>
      </w:r>
      <w:proofErr w:type="spellEnd"/>
      <w:r w:rsidRPr="00F63AD9">
        <w:rPr>
          <w:rFonts w:ascii="Times New Roman" w:eastAsia="NotDefSpecial" w:hAnsi="Times New Roman" w:cs="Times New Roman"/>
          <w:sz w:val="24"/>
          <w:szCs w:val="24"/>
        </w:rPr>
        <w:t xml:space="preserve"> </w:t>
      </w:r>
      <w:proofErr w:type="spellStart"/>
      <w:r w:rsidRPr="00F63AD9">
        <w:rPr>
          <w:rFonts w:ascii="Times New Roman" w:eastAsia="NotDefSpecial" w:hAnsi="Times New Roman" w:cs="Times New Roman"/>
          <w:sz w:val="24"/>
          <w:szCs w:val="24"/>
        </w:rPr>
        <w:t>Chowdhury</w:t>
      </w:r>
      <w:proofErr w:type="spellEnd"/>
      <w:r w:rsidRPr="00F63AD9">
        <w:rPr>
          <w:rFonts w:ascii="Times New Roman" w:eastAsia="NotDefSpecial" w:hAnsi="Times New Roman" w:cs="Times New Roman"/>
          <w:sz w:val="24"/>
          <w:szCs w:val="24"/>
        </w:rPr>
        <w:t xml:space="preserve"> at 301-796-6391.</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Sincerely yours,</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Christy Foreman</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Director</w:t>
      </w:r>
    </w:p>
    <w:p w:rsidR="00F63AD9" w:rsidRP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Office of Device Evaluation</w:t>
      </w:r>
    </w:p>
    <w:p w:rsidR="00F63AD9" w:rsidRDefault="00F63AD9" w:rsidP="00F67D33">
      <w:pPr>
        <w:autoSpaceDE w:val="0"/>
        <w:autoSpaceDN w:val="0"/>
        <w:adjustRightInd w:val="0"/>
        <w:spacing w:after="0" w:line="240" w:lineRule="auto"/>
        <w:jc w:val="right"/>
        <w:rPr>
          <w:rFonts w:ascii="Times New Roman" w:eastAsia="NotDefSpecial" w:hAnsi="Times New Roman" w:cs="Times New Roman"/>
          <w:sz w:val="24"/>
          <w:szCs w:val="24"/>
        </w:rPr>
      </w:pPr>
      <w:r w:rsidRPr="00F63AD9">
        <w:rPr>
          <w:rFonts w:ascii="Times New Roman" w:eastAsia="NotDefSpecial" w:hAnsi="Times New Roman" w:cs="Times New Roman"/>
          <w:sz w:val="24"/>
          <w:szCs w:val="24"/>
        </w:rPr>
        <w:t>Center for Devices and Radiological Health</w:t>
      </w:r>
    </w:p>
    <w:p w:rsidR="00F67D33" w:rsidRDefault="00F67D33" w:rsidP="00F67D33">
      <w:pPr>
        <w:autoSpaceDE w:val="0"/>
        <w:autoSpaceDN w:val="0"/>
        <w:adjustRightInd w:val="0"/>
        <w:spacing w:after="0" w:line="240" w:lineRule="auto"/>
        <w:jc w:val="right"/>
        <w:rPr>
          <w:rFonts w:ascii="Times New Roman" w:eastAsia="NotDefSpecial" w:hAnsi="Times New Roman" w:cs="Times New Roman"/>
          <w:sz w:val="24"/>
          <w:szCs w:val="24"/>
        </w:rPr>
      </w:pPr>
    </w:p>
    <w:p w:rsidR="00F67D33" w:rsidRPr="00F63AD9" w:rsidRDefault="00F67D33" w:rsidP="00F67D33">
      <w:pPr>
        <w:autoSpaceDE w:val="0"/>
        <w:autoSpaceDN w:val="0"/>
        <w:adjustRightInd w:val="0"/>
        <w:spacing w:after="0" w:line="240" w:lineRule="auto"/>
        <w:jc w:val="right"/>
        <w:rPr>
          <w:rFonts w:ascii="Times New Roman" w:eastAsia="NotDefSpecial" w:hAnsi="Times New Roman" w:cs="Times New Roman"/>
          <w:sz w:val="24"/>
          <w:szCs w:val="24"/>
        </w:rPr>
      </w:pPr>
    </w:p>
    <w:p w:rsidR="00F63AD9" w:rsidRPr="00F63AD9" w:rsidRDefault="00F63AD9" w:rsidP="00F67D33">
      <w:pPr>
        <w:pStyle w:val="NormalWeb"/>
        <w:ind w:left="300"/>
        <w:jc w:val="right"/>
      </w:pPr>
      <w:r w:rsidRPr="00F63AD9">
        <w:rPr>
          <w:rFonts w:eastAsia="NotDefSpecial"/>
        </w:rPr>
        <w:t>Food and Drug Administration</w:t>
      </w:r>
    </w:p>
    <w:p w:rsidR="001056CC" w:rsidRPr="00F63AD9" w:rsidRDefault="001056CC" w:rsidP="00F80A64">
      <w:pPr>
        <w:rPr>
          <w:rFonts w:ascii="Times New Roman" w:hAnsi="Times New Roman" w:cs="Times New Roman"/>
          <w:sz w:val="24"/>
          <w:szCs w:val="24"/>
        </w:rPr>
      </w:pPr>
    </w:p>
    <w:p w:rsidR="00041B89" w:rsidRPr="00F63AD9" w:rsidRDefault="00041B89">
      <w:pPr>
        <w:rPr>
          <w:rFonts w:ascii="Times New Roman" w:hAnsi="Times New Roman" w:cs="Times New Roman"/>
          <w:sz w:val="24"/>
          <w:szCs w:val="24"/>
        </w:rPr>
      </w:pPr>
    </w:p>
    <w:sectPr w:rsidR="00041B89" w:rsidRPr="00F63AD9">
      <w:headerReference w:type="even" r:id="rId10"/>
      <w:head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8E7" w:rsidRDefault="004218E7" w:rsidP="00F63AD9">
      <w:pPr>
        <w:spacing w:after="0" w:line="240" w:lineRule="auto"/>
      </w:pPr>
      <w:r>
        <w:separator/>
      </w:r>
    </w:p>
  </w:endnote>
  <w:endnote w:type="continuationSeparator" w:id="0">
    <w:p w:rsidR="004218E7" w:rsidRDefault="004218E7" w:rsidP="00F63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NotDefSpecial">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8E7" w:rsidRDefault="004218E7" w:rsidP="00F63AD9">
      <w:pPr>
        <w:spacing w:after="0" w:line="240" w:lineRule="auto"/>
      </w:pPr>
      <w:r>
        <w:separator/>
      </w:r>
    </w:p>
  </w:footnote>
  <w:footnote w:type="continuationSeparator" w:id="0">
    <w:p w:rsidR="004218E7" w:rsidRDefault="004218E7" w:rsidP="00F63A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575" w:rsidRDefault="004218E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29532" o:spid="_x0000_s2050" type="#_x0000_t136" style="position:absolute;margin-left:0;margin-top:0;width:518.4pt;height:141.35pt;rotation:315;z-index:-251655168;mso-position-horizontal:center;mso-position-horizontal-relative:margin;mso-position-vertical:center;mso-position-vertical-relative:margin" o:allowincell="f" fillcolor="#bfbfbf [2412]" stroked="f">
          <v:fill opacity=".5"/>
          <v:textpath style="font-family:&quot;Calibri&quot;;font-size:1pt" string="Mock Lett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AD9" w:rsidRPr="006F719F" w:rsidRDefault="004218E7" w:rsidP="006F719F">
    <w:pPr>
      <w:pStyle w:val="NormalWeb"/>
      <w:rPr>
        <w:rFonts w:eastAsia="NotDefSpecial"/>
        <w:sz w:val="22"/>
        <w:szCs w:val="22"/>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29533" o:spid="_x0000_s2051" type="#_x0000_t136" style="position:absolute;margin-left:0;margin-top:0;width:518.4pt;height:141.35pt;rotation:315;z-index:-251653120;mso-position-horizontal:center;mso-position-horizontal-relative:margin;mso-position-vertical:center;mso-position-vertical-relative:margin" o:allowincell="f" fillcolor="#bfbfbf [2412]" stroked="f">
          <v:fill opacity=".5"/>
          <v:textpath style="font-family:&quot;Calibri&quot;;font-size:1pt" string="Mock Letter"/>
          <w10:wrap anchorx="margin" anchory="margin"/>
        </v:shape>
      </w:pict>
    </w:r>
    <w:r w:rsidR="00F63AD9">
      <w:rPr>
        <w:rFonts w:ascii="Arial" w:hAnsi="Arial" w:cs="Arial"/>
        <w:noProof/>
        <w:color w:val="0044CC"/>
      </w:rPr>
      <w:drawing>
        <wp:inline distT="0" distB="0" distL="0" distR="0">
          <wp:extent cx="542925" cy="542925"/>
          <wp:effectExtent l="0" t="0" r="9525" b="9525"/>
          <wp:docPr id="1" name="Picture 1" descr="http://ts1.mm.bing.net/images/thumbnail.aspx?q=1624484152648&amp;id=f5071ed40e048671870bea8e3b63230d&amp;url=http%3a%2f%2fendostudy.utah.edu%2fpics%2fTranparent_DHHS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1.mm.bing.net/images/thumbnail.aspx?q=1624484152648&amp;id=f5071ed40e048671870bea8e3b63230d&amp;url=http%3a%2f%2fendostudy.utah.edu%2fpics%2fTranparent_DHHS_Logo.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sidR="00F63AD9" w:rsidRPr="006F719F">
      <w:rPr>
        <w:rFonts w:eastAsia="NotDefSpecial"/>
        <w:sz w:val="22"/>
        <w:szCs w:val="22"/>
        <w:u w:val="single"/>
      </w:rPr>
      <w:t>DEPARTMENT OF HEALTH &amp; HUMAN SERVICES                         Public Health Service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575" w:rsidRDefault="004218E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29531" o:spid="_x0000_s2049" type="#_x0000_t136" style="position:absolute;margin-left:0;margin-top:0;width:518.4pt;height:141.35pt;rotation:315;z-index:-251657216;mso-position-horizontal:center;mso-position-horizontal-relative:margin;mso-position-vertical:center;mso-position-vertical-relative:margin" o:allowincell="f" fillcolor="#bfbfbf [2412]" stroked="f">
          <v:fill opacity=".5"/>
          <v:textpath style="font-family:&quot;Calibri&quot;;font-size:1pt" string="Mock Lett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02F"/>
    <w:multiLevelType w:val="hybridMultilevel"/>
    <w:tmpl w:val="DB7222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513EC"/>
    <w:multiLevelType w:val="hybridMultilevel"/>
    <w:tmpl w:val="F97C8F90"/>
    <w:lvl w:ilvl="0" w:tplc="E30614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7428F6"/>
    <w:multiLevelType w:val="hybridMultilevel"/>
    <w:tmpl w:val="4E580350"/>
    <w:lvl w:ilvl="0" w:tplc="31E469A4">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EB542F"/>
    <w:multiLevelType w:val="hybridMultilevel"/>
    <w:tmpl w:val="9BF0CF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F6E"/>
    <w:rsid w:val="00041B89"/>
    <w:rsid w:val="001056CC"/>
    <w:rsid w:val="00291976"/>
    <w:rsid w:val="004218E7"/>
    <w:rsid w:val="0048421A"/>
    <w:rsid w:val="0058389D"/>
    <w:rsid w:val="005D57A8"/>
    <w:rsid w:val="005E1F3F"/>
    <w:rsid w:val="00605CC4"/>
    <w:rsid w:val="006775C7"/>
    <w:rsid w:val="006F719F"/>
    <w:rsid w:val="007D53BA"/>
    <w:rsid w:val="007F702E"/>
    <w:rsid w:val="00861F97"/>
    <w:rsid w:val="00906748"/>
    <w:rsid w:val="00A1728B"/>
    <w:rsid w:val="00A2611D"/>
    <w:rsid w:val="00BD6039"/>
    <w:rsid w:val="00C84305"/>
    <w:rsid w:val="00CD6435"/>
    <w:rsid w:val="00DB1575"/>
    <w:rsid w:val="00F63AD9"/>
    <w:rsid w:val="00F67D33"/>
    <w:rsid w:val="00F80A64"/>
    <w:rsid w:val="00F80F6E"/>
    <w:rsid w:val="00FE0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0A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3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AD9"/>
  </w:style>
  <w:style w:type="paragraph" w:styleId="Footer">
    <w:name w:val="footer"/>
    <w:basedOn w:val="Normal"/>
    <w:link w:val="FooterChar"/>
    <w:uiPriority w:val="99"/>
    <w:unhideWhenUsed/>
    <w:rsid w:val="00F63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AD9"/>
  </w:style>
  <w:style w:type="paragraph" w:styleId="ListParagraph">
    <w:name w:val="List Paragraph"/>
    <w:basedOn w:val="Normal"/>
    <w:uiPriority w:val="34"/>
    <w:qFormat/>
    <w:rsid w:val="00291976"/>
    <w:pPr>
      <w:ind w:left="720"/>
      <w:contextualSpacing/>
    </w:pPr>
  </w:style>
  <w:style w:type="character" w:styleId="Hyperlink">
    <w:name w:val="Hyperlink"/>
    <w:basedOn w:val="DefaultParagraphFont"/>
    <w:uiPriority w:val="99"/>
    <w:unhideWhenUsed/>
    <w:rsid w:val="005E1F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0A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3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AD9"/>
  </w:style>
  <w:style w:type="paragraph" w:styleId="Footer">
    <w:name w:val="footer"/>
    <w:basedOn w:val="Normal"/>
    <w:link w:val="FooterChar"/>
    <w:uiPriority w:val="99"/>
    <w:unhideWhenUsed/>
    <w:rsid w:val="00F63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AD9"/>
  </w:style>
  <w:style w:type="paragraph" w:styleId="ListParagraph">
    <w:name w:val="List Paragraph"/>
    <w:basedOn w:val="Normal"/>
    <w:uiPriority w:val="34"/>
    <w:qFormat/>
    <w:rsid w:val="00291976"/>
    <w:pPr>
      <w:ind w:left="720"/>
      <w:contextualSpacing/>
    </w:pPr>
  </w:style>
  <w:style w:type="character" w:styleId="Hyperlink">
    <w:name w:val="Hyperlink"/>
    <w:basedOn w:val="DefaultParagraphFont"/>
    <w:uiPriority w:val="99"/>
    <w:unhideWhenUsed/>
    <w:rsid w:val="005E1F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202418">
      <w:bodyDiv w:val="1"/>
      <w:marLeft w:val="0"/>
      <w:marRight w:val="0"/>
      <w:marTop w:val="0"/>
      <w:marBottom w:val="0"/>
      <w:divBdr>
        <w:top w:val="none" w:sz="0" w:space="0" w:color="auto"/>
        <w:left w:val="none" w:sz="0" w:space="0" w:color="auto"/>
        <w:bottom w:val="none" w:sz="0" w:space="0" w:color="auto"/>
        <w:right w:val="none" w:sz="0" w:space="0" w:color="auto"/>
      </w:divBdr>
      <w:divsChild>
        <w:div w:id="1403137582">
          <w:marLeft w:val="0"/>
          <w:marRight w:val="0"/>
          <w:marTop w:val="0"/>
          <w:marBottom w:val="0"/>
          <w:divBdr>
            <w:top w:val="none" w:sz="0" w:space="0" w:color="auto"/>
            <w:left w:val="none" w:sz="0" w:space="0" w:color="auto"/>
            <w:bottom w:val="none" w:sz="0" w:space="0" w:color="auto"/>
            <w:right w:val="none" w:sz="0" w:space="0" w:color="auto"/>
          </w:divBdr>
          <w:divsChild>
            <w:div w:id="578636550">
              <w:marLeft w:val="0"/>
              <w:marRight w:val="0"/>
              <w:marTop w:val="0"/>
              <w:marBottom w:val="0"/>
              <w:divBdr>
                <w:top w:val="none" w:sz="0" w:space="0" w:color="auto"/>
                <w:left w:val="none" w:sz="0" w:space="0" w:color="auto"/>
                <w:bottom w:val="none" w:sz="0" w:space="0" w:color="auto"/>
                <w:right w:val="none" w:sz="0" w:space="0" w:color="auto"/>
              </w:divBdr>
              <w:divsChild>
                <w:div w:id="491681845">
                  <w:marLeft w:val="0"/>
                  <w:marRight w:val="0"/>
                  <w:marTop w:val="0"/>
                  <w:marBottom w:val="0"/>
                  <w:divBdr>
                    <w:top w:val="none" w:sz="0" w:space="0" w:color="auto"/>
                    <w:left w:val="none" w:sz="0" w:space="0" w:color="auto"/>
                    <w:bottom w:val="none" w:sz="0" w:space="0" w:color="auto"/>
                    <w:right w:val="none" w:sz="0" w:space="0" w:color="auto"/>
                  </w:divBdr>
                  <w:divsChild>
                    <w:div w:id="18305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da.gov/MedicalDevices/DeviceRegulationandGuidance/GuidanceDocuments/ucm070974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da.gov/MedicalDevices/DeviceRegulationandGuidance/GuidanceDocuments/ucm070974.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bing.com/images/search?q=dhhs+logo&amp;view=detail&amp;id=2C626042647B960E4A0B6C4B568D0EFD4277AAA5&amp;firs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FDA Compliance Letter</vt:lpstr>
    </vt:vector>
  </TitlesOfParts>
  <Company>The MITRE Corporation</Company>
  <LinksUpToDate>false</LinksUpToDate>
  <CharactersWithSpaces>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FDA Compliance Letter</dc:title>
  <dc:subject/>
  <dc:creator>Chad Watson</dc:creator>
  <cp:keywords/>
  <dc:description/>
  <cp:lastModifiedBy>Chad Watson</cp:lastModifiedBy>
  <cp:revision>19</cp:revision>
  <dcterms:created xsi:type="dcterms:W3CDTF">2012-02-18T13:20:00Z</dcterms:created>
  <dcterms:modified xsi:type="dcterms:W3CDTF">2012-02-20T04:19:00Z</dcterms:modified>
</cp:coreProperties>
</file>